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D8" w:rsidRDefault="00160356" w:rsidP="00D6667C">
      <w:pPr>
        <w:jc w:val="center"/>
        <w:rPr>
          <w:rFonts w:eastAsia="Calibri"/>
          <w:b/>
          <w:sz w:val="24"/>
          <w:szCs w:val="24"/>
          <w:lang w:eastAsia="en-US"/>
        </w:rPr>
      </w:pPr>
      <w:bookmarkStart w:id="0" w:name="_GoBack"/>
      <w:r w:rsidRPr="00CA7009">
        <w:rPr>
          <w:rFonts w:eastAsia="Calibri"/>
          <w:b/>
          <w:sz w:val="24"/>
          <w:szCs w:val="24"/>
          <w:lang w:eastAsia="en-US"/>
        </w:rPr>
        <w:t xml:space="preserve">Анализ работы </w:t>
      </w:r>
      <w:proofErr w:type="spellStart"/>
      <w:r w:rsidRPr="00CA7009">
        <w:rPr>
          <w:rFonts w:eastAsia="Calibri"/>
          <w:b/>
          <w:sz w:val="24"/>
          <w:szCs w:val="24"/>
          <w:lang w:eastAsia="en-US"/>
        </w:rPr>
        <w:t>профпатологической</w:t>
      </w:r>
      <w:proofErr w:type="spellEnd"/>
      <w:r w:rsidRPr="00CA7009">
        <w:rPr>
          <w:rFonts w:eastAsia="Calibri"/>
          <w:b/>
          <w:sz w:val="24"/>
          <w:szCs w:val="24"/>
          <w:lang w:eastAsia="en-US"/>
        </w:rPr>
        <w:t xml:space="preserve"> службы</w:t>
      </w:r>
      <w:r w:rsidR="008445BD">
        <w:rPr>
          <w:rFonts w:eastAsia="Calibri"/>
          <w:b/>
          <w:sz w:val="24"/>
          <w:szCs w:val="24"/>
          <w:lang w:eastAsia="en-US"/>
        </w:rPr>
        <w:t xml:space="preserve"> </w:t>
      </w:r>
    </w:p>
    <w:p w:rsidR="00160356" w:rsidRPr="00CA7009" w:rsidRDefault="008445BD" w:rsidP="00D6667C">
      <w:pPr>
        <w:jc w:val="center"/>
        <w:rPr>
          <w:rFonts w:eastAsia="Calibri"/>
          <w:b/>
          <w:sz w:val="24"/>
          <w:szCs w:val="24"/>
          <w:lang w:eastAsia="en-US"/>
        </w:rPr>
      </w:pPr>
      <w:r>
        <w:rPr>
          <w:rFonts w:eastAsia="Calibri"/>
          <w:b/>
          <w:sz w:val="24"/>
          <w:szCs w:val="24"/>
          <w:lang w:eastAsia="en-US"/>
        </w:rPr>
        <w:t xml:space="preserve">Министерства здравоохранения Забайкальского края </w:t>
      </w:r>
      <w:r w:rsidR="00160356" w:rsidRPr="00CA7009">
        <w:rPr>
          <w:rFonts w:eastAsia="Calibri"/>
          <w:b/>
          <w:sz w:val="24"/>
          <w:szCs w:val="24"/>
          <w:lang w:eastAsia="en-US"/>
        </w:rPr>
        <w:t xml:space="preserve">в </w:t>
      </w:r>
      <w:r w:rsidR="00F41D8C">
        <w:rPr>
          <w:rFonts w:eastAsia="Calibri"/>
          <w:b/>
          <w:sz w:val="24"/>
          <w:szCs w:val="24"/>
          <w:lang w:eastAsia="en-US"/>
        </w:rPr>
        <w:t>2018-</w:t>
      </w:r>
      <w:r w:rsidR="00160356" w:rsidRPr="00CA7009">
        <w:rPr>
          <w:rFonts w:eastAsia="Calibri"/>
          <w:b/>
          <w:sz w:val="24"/>
          <w:szCs w:val="24"/>
          <w:lang w:eastAsia="en-US"/>
        </w:rPr>
        <w:t>20</w:t>
      </w:r>
      <w:r w:rsidR="00452F00">
        <w:rPr>
          <w:rFonts w:eastAsia="Calibri"/>
          <w:b/>
          <w:sz w:val="24"/>
          <w:szCs w:val="24"/>
          <w:lang w:eastAsia="en-US"/>
        </w:rPr>
        <w:t>2</w:t>
      </w:r>
      <w:r w:rsidR="00542501">
        <w:rPr>
          <w:rFonts w:eastAsia="Calibri"/>
          <w:b/>
          <w:sz w:val="24"/>
          <w:szCs w:val="24"/>
          <w:lang w:eastAsia="en-US"/>
        </w:rPr>
        <w:t>2</w:t>
      </w:r>
      <w:r w:rsidR="00160356" w:rsidRPr="00CA7009">
        <w:rPr>
          <w:rFonts w:eastAsia="Calibri"/>
          <w:b/>
          <w:sz w:val="24"/>
          <w:szCs w:val="24"/>
          <w:lang w:eastAsia="en-US"/>
        </w:rPr>
        <w:t xml:space="preserve"> г.</w:t>
      </w:r>
    </w:p>
    <w:p w:rsidR="00160356" w:rsidRPr="00CA7009" w:rsidRDefault="00160356" w:rsidP="00D6667C">
      <w:pPr>
        <w:jc w:val="both"/>
        <w:rPr>
          <w:rFonts w:eastAsia="Calibri"/>
          <w:sz w:val="24"/>
          <w:szCs w:val="24"/>
          <w:lang w:eastAsia="en-US"/>
        </w:rPr>
      </w:pPr>
    </w:p>
    <w:p w:rsidR="00542501" w:rsidRPr="00CA7009" w:rsidRDefault="00160356" w:rsidP="00F41D8C">
      <w:pPr>
        <w:jc w:val="both"/>
        <w:rPr>
          <w:rFonts w:eastAsia="Calibri"/>
          <w:sz w:val="24"/>
          <w:szCs w:val="24"/>
          <w:lang w:eastAsia="en-US"/>
        </w:rPr>
      </w:pPr>
      <w:r w:rsidRPr="00CA7009">
        <w:rPr>
          <w:rFonts w:eastAsia="Calibri"/>
          <w:sz w:val="24"/>
          <w:szCs w:val="24"/>
          <w:lang w:eastAsia="en-US"/>
        </w:rPr>
        <w:tab/>
      </w:r>
      <w:r w:rsidR="00542501" w:rsidRPr="00CA7009">
        <w:rPr>
          <w:rFonts w:eastAsia="Calibri"/>
          <w:sz w:val="24"/>
          <w:szCs w:val="24"/>
          <w:lang w:eastAsia="en-US"/>
        </w:rPr>
        <w:t xml:space="preserve"> </w:t>
      </w:r>
    </w:p>
    <w:p w:rsidR="00542501" w:rsidRPr="00CA7009" w:rsidRDefault="00542501" w:rsidP="00542501">
      <w:pPr>
        <w:ind w:firstLine="360"/>
        <w:jc w:val="both"/>
        <w:rPr>
          <w:rFonts w:eastAsia="Calibri"/>
          <w:sz w:val="24"/>
          <w:szCs w:val="24"/>
          <w:lang w:eastAsia="en-US"/>
        </w:rPr>
      </w:pPr>
      <w:r w:rsidRPr="00CA7009">
        <w:rPr>
          <w:rFonts w:eastAsia="Calibri"/>
          <w:sz w:val="24"/>
          <w:szCs w:val="24"/>
          <w:lang w:eastAsia="en-US"/>
        </w:rPr>
        <w:t>В последние годы в Забайкальском крае отмечается устойчивый рост профессиональной заболеваемости. Высокий уровень профессиональной заболеваемости стабильно регистрируется на предприятиях по добыче полезных ископаемых, обрабатывающих производствах, строительстве, транспорте и связи. Динамика показателей профессиональной заболеваемости в Забайкальском крае является свидетельством отсутствия тенденции ее снижения, а уровень показателей в расчете на 10 тысяч занятого населения превосходит показатели по РФ</w:t>
      </w:r>
      <w:r>
        <w:rPr>
          <w:rFonts w:eastAsia="Calibri"/>
          <w:sz w:val="24"/>
          <w:szCs w:val="24"/>
          <w:lang w:eastAsia="en-US"/>
        </w:rPr>
        <w:t xml:space="preserve"> и ДФО</w:t>
      </w:r>
      <w:r w:rsidRPr="00CA7009">
        <w:rPr>
          <w:rFonts w:eastAsia="Calibri"/>
          <w:sz w:val="24"/>
          <w:szCs w:val="24"/>
          <w:lang w:eastAsia="en-US"/>
        </w:rPr>
        <w:t>.</w:t>
      </w:r>
    </w:p>
    <w:p w:rsidR="00542501" w:rsidRPr="00CA7009" w:rsidRDefault="00542501" w:rsidP="00542501">
      <w:pPr>
        <w:ind w:firstLine="708"/>
        <w:jc w:val="both"/>
        <w:rPr>
          <w:rFonts w:eastAsia="Calibri"/>
          <w:sz w:val="24"/>
          <w:szCs w:val="24"/>
          <w:lang w:eastAsia="en-US"/>
        </w:rPr>
      </w:pPr>
      <w:r w:rsidRPr="00CA7009">
        <w:rPr>
          <w:rFonts w:eastAsia="Calibri"/>
          <w:sz w:val="24"/>
          <w:szCs w:val="24"/>
          <w:lang w:eastAsia="en-US"/>
        </w:rPr>
        <w:t xml:space="preserve">Ведущей отраслью промышленности в Забайкальском крае является </w:t>
      </w:r>
      <w:proofErr w:type="gramStart"/>
      <w:r w:rsidRPr="00CA7009">
        <w:rPr>
          <w:rFonts w:eastAsia="Calibri"/>
          <w:sz w:val="24"/>
          <w:szCs w:val="24"/>
          <w:lang w:eastAsia="en-US"/>
        </w:rPr>
        <w:t>горнодобывающая</w:t>
      </w:r>
      <w:proofErr w:type="gramEnd"/>
      <w:r w:rsidRPr="00CA7009">
        <w:rPr>
          <w:rFonts w:eastAsia="Calibri"/>
          <w:sz w:val="24"/>
          <w:szCs w:val="24"/>
          <w:lang w:eastAsia="en-US"/>
        </w:rPr>
        <w:t xml:space="preserve">. Она представлена уникальными и в некоторой степени единственными существующими в РФ промышленными </w:t>
      </w:r>
      <w:proofErr w:type="gramStart"/>
      <w:r w:rsidRPr="00CA7009">
        <w:rPr>
          <w:rFonts w:eastAsia="Calibri"/>
          <w:sz w:val="24"/>
          <w:szCs w:val="24"/>
          <w:lang w:eastAsia="en-US"/>
        </w:rPr>
        <w:t>предприятиями</w:t>
      </w:r>
      <w:proofErr w:type="gramEnd"/>
      <w:r w:rsidRPr="00CA7009">
        <w:rPr>
          <w:rFonts w:eastAsia="Calibri"/>
          <w:sz w:val="24"/>
          <w:szCs w:val="24"/>
          <w:lang w:eastAsia="en-US"/>
        </w:rPr>
        <w:t xml:space="preserve"> но добыче и обогащению урановых руд, бериллия, сурьмы. На территории Забайкальского края находятся предприятия по добыче рассыпного и рудного золота, каменного угля, предприятия энергетического комплекса.</w:t>
      </w:r>
    </w:p>
    <w:p w:rsidR="00542501" w:rsidRPr="00CA7009" w:rsidRDefault="00542501" w:rsidP="00542501">
      <w:pPr>
        <w:ind w:firstLine="708"/>
        <w:jc w:val="both"/>
        <w:rPr>
          <w:rFonts w:eastAsia="Calibri"/>
          <w:sz w:val="24"/>
          <w:szCs w:val="24"/>
          <w:lang w:eastAsia="en-US"/>
        </w:rPr>
      </w:pPr>
      <w:r w:rsidRPr="00CA7009">
        <w:rPr>
          <w:rFonts w:eastAsia="Calibri"/>
          <w:sz w:val="24"/>
          <w:szCs w:val="24"/>
          <w:lang w:eastAsia="en-US"/>
        </w:rPr>
        <w:t xml:space="preserve">Условия труда на большинстве </w:t>
      </w:r>
      <w:proofErr w:type="gramStart"/>
      <w:r w:rsidRPr="00CA7009">
        <w:rPr>
          <w:rFonts w:eastAsia="Calibri"/>
          <w:sz w:val="24"/>
          <w:szCs w:val="24"/>
          <w:lang w:eastAsia="en-US"/>
        </w:rPr>
        <w:t>горно-рудных</w:t>
      </w:r>
      <w:proofErr w:type="gramEnd"/>
      <w:r w:rsidRPr="00CA7009">
        <w:rPr>
          <w:rFonts w:eastAsia="Calibri"/>
          <w:sz w:val="24"/>
          <w:szCs w:val="24"/>
          <w:lang w:eastAsia="en-US"/>
        </w:rPr>
        <w:t xml:space="preserve"> предприятиях характеризуются целым рядом факторов, оказывающих вредное влияние на организм рабочего. К ним относятся: рудная пыль, шум, вибрация, резкие перепады температур, повышенная влажность воздуха, необходимость работы в вынужденной позе, физические перегрузки, вредные газы и др. Вредное воздействие на организм работающего оказывает весь процесс, связанный с добычей и переработкой руды до уровня концентрата или готовой продукции. </w:t>
      </w:r>
    </w:p>
    <w:p w:rsidR="00542501" w:rsidRDefault="00542501" w:rsidP="00542501">
      <w:pPr>
        <w:jc w:val="both"/>
        <w:rPr>
          <w:rFonts w:eastAsia="Calibri"/>
          <w:sz w:val="24"/>
          <w:szCs w:val="24"/>
          <w:lang w:eastAsia="en-US"/>
        </w:rPr>
      </w:pPr>
      <w:r w:rsidRPr="00CA7009">
        <w:rPr>
          <w:rFonts w:eastAsia="Calibri"/>
          <w:sz w:val="24"/>
          <w:szCs w:val="24"/>
          <w:lang w:eastAsia="en-US"/>
        </w:rPr>
        <w:tab/>
        <w:t xml:space="preserve">По данным Забайкальского </w:t>
      </w:r>
      <w:proofErr w:type="spellStart"/>
      <w:r w:rsidRPr="00CA7009">
        <w:rPr>
          <w:rFonts w:eastAsia="Calibri"/>
          <w:sz w:val="24"/>
          <w:szCs w:val="24"/>
          <w:lang w:eastAsia="en-US"/>
        </w:rPr>
        <w:t>Крайстата</w:t>
      </w:r>
      <w:proofErr w:type="spellEnd"/>
      <w:r w:rsidRPr="00CA7009">
        <w:rPr>
          <w:rFonts w:eastAsia="Calibri"/>
          <w:sz w:val="24"/>
          <w:szCs w:val="24"/>
          <w:lang w:eastAsia="en-US"/>
        </w:rPr>
        <w:t xml:space="preserve"> в 20</w:t>
      </w:r>
      <w:r>
        <w:rPr>
          <w:rFonts w:eastAsia="Calibri"/>
          <w:sz w:val="24"/>
          <w:szCs w:val="24"/>
          <w:lang w:eastAsia="en-US"/>
        </w:rPr>
        <w:t>22</w:t>
      </w:r>
      <w:r w:rsidRPr="00CA7009">
        <w:rPr>
          <w:rFonts w:eastAsia="Calibri"/>
          <w:sz w:val="24"/>
          <w:szCs w:val="24"/>
          <w:lang w:eastAsia="en-US"/>
        </w:rPr>
        <w:t xml:space="preserve"> г. на промышленных предприятиях, обрабатывающих производствах, строительстве, транспорте и связи работало </w:t>
      </w:r>
      <w:r>
        <w:rPr>
          <w:rFonts w:eastAsia="Calibri"/>
          <w:sz w:val="24"/>
          <w:szCs w:val="24"/>
          <w:lang w:eastAsia="en-US"/>
        </w:rPr>
        <w:t xml:space="preserve">89967 </w:t>
      </w:r>
      <w:r w:rsidRPr="00CA7009">
        <w:rPr>
          <w:rFonts w:eastAsia="Calibri"/>
          <w:sz w:val="24"/>
          <w:szCs w:val="24"/>
          <w:lang w:eastAsia="en-US"/>
        </w:rPr>
        <w:t xml:space="preserve">человек, из них занятых на работах с вредными и опасными условиями труда </w:t>
      </w:r>
      <w:r>
        <w:rPr>
          <w:rFonts w:eastAsia="Calibri"/>
          <w:sz w:val="24"/>
          <w:szCs w:val="24"/>
          <w:lang w:eastAsia="en-US"/>
        </w:rPr>
        <w:t>48448</w:t>
      </w:r>
      <w:r w:rsidRPr="00CA7009">
        <w:rPr>
          <w:rFonts w:eastAsia="Calibri"/>
          <w:sz w:val="24"/>
          <w:szCs w:val="24"/>
          <w:lang w:eastAsia="en-US"/>
        </w:rPr>
        <w:t xml:space="preserve"> человек (5</w:t>
      </w:r>
      <w:r>
        <w:rPr>
          <w:rFonts w:eastAsia="Calibri"/>
          <w:sz w:val="24"/>
          <w:szCs w:val="24"/>
          <w:lang w:eastAsia="en-US"/>
        </w:rPr>
        <w:t>3</w:t>
      </w:r>
      <w:r w:rsidRPr="00CA7009">
        <w:rPr>
          <w:rFonts w:eastAsia="Calibri"/>
          <w:sz w:val="24"/>
          <w:szCs w:val="24"/>
          <w:lang w:eastAsia="en-US"/>
        </w:rPr>
        <w:t>,</w:t>
      </w:r>
      <w:r>
        <w:rPr>
          <w:rFonts w:eastAsia="Calibri"/>
          <w:sz w:val="24"/>
          <w:szCs w:val="24"/>
          <w:lang w:eastAsia="en-US"/>
        </w:rPr>
        <w:t>8</w:t>
      </w:r>
      <w:r w:rsidRPr="00CA7009">
        <w:rPr>
          <w:rFonts w:eastAsia="Calibri"/>
          <w:sz w:val="24"/>
          <w:szCs w:val="24"/>
          <w:lang w:eastAsia="en-US"/>
        </w:rPr>
        <w:t>%) .</w:t>
      </w:r>
    </w:p>
    <w:p w:rsidR="00F41D8C" w:rsidRPr="00521A52" w:rsidRDefault="00F41D8C" w:rsidP="00F41D8C">
      <w:pPr>
        <w:ind w:firstLine="708"/>
        <w:jc w:val="both"/>
        <w:rPr>
          <w:rFonts w:eastAsia="Calibri"/>
          <w:sz w:val="24"/>
          <w:szCs w:val="24"/>
          <w:lang w:eastAsia="en-US"/>
        </w:rPr>
      </w:pPr>
      <w:r w:rsidRPr="00521A52">
        <w:rPr>
          <w:rFonts w:eastAsia="Calibri"/>
          <w:sz w:val="24"/>
          <w:szCs w:val="24"/>
          <w:lang w:eastAsia="en-US"/>
        </w:rPr>
        <w:t xml:space="preserve">Следует сказать, что в процессе трудовой деятельности работающего, одновременно воздействуют несколько вредных факторов труда и трудового процесса. Свидетельством тому является ежегодное установление у 10-20 </w:t>
      </w:r>
      <w:proofErr w:type="gramStart"/>
      <w:r w:rsidRPr="00521A52">
        <w:rPr>
          <w:rFonts w:eastAsia="Calibri"/>
          <w:sz w:val="24"/>
          <w:szCs w:val="24"/>
          <w:lang w:eastAsia="en-US"/>
        </w:rPr>
        <w:t>работающих</w:t>
      </w:r>
      <w:proofErr w:type="gramEnd"/>
      <w:r w:rsidRPr="00521A52">
        <w:rPr>
          <w:rFonts w:eastAsia="Calibri"/>
          <w:sz w:val="24"/>
          <w:szCs w:val="24"/>
          <w:lang w:eastAsia="en-US"/>
        </w:rPr>
        <w:t xml:space="preserve"> одновременно 2-3 профессиональных заболевания. </w:t>
      </w:r>
    </w:p>
    <w:p w:rsidR="00F41D8C" w:rsidRDefault="00F41D8C" w:rsidP="00F41D8C">
      <w:pPr>
        <w:ind w:firstLine="708"/>
        <w:jc w:val="both"/>
        <w:rPr>
          <w:rFonts w:eastAsia="Calibri"/>
          <w:sz w:val="24"/>
          <w:szCs w:val="24"/>
          <w:lang w:eastAsia="en-US"/>
        </w:rPr>
      </w:pPr>
      <w:r w:rsidRPr="00521A52">
        <w:rPr>
          <w:rFonts w:eastAsia="Calibri"/>
          <w:sz w:val="24"/>
          <w:szCs w:val="24"/>
          <w:lang w:eastAsia="en-US"/>
        </w:rPr>
        <w:t xml:space="preserve">Кроме того, на развитие профессионального заболевания большое значение имеет увеличение времени воздействия вредного и опасного фактора труда и трудового процесса </w:t>
      </w:r>
      <w:proofErr w:type="gramStart"/>
      <w:r w:rsidRPr="00521A52">
        <w:rPr>
          <w:rFonts w:eastAsia="Calibri"/>
          <w:sz w:val="24"/>
          <w:szCs w:val="24"/>
          <w:lang w:eastAsia="en-US"/>
        </w:rPr>
        <w:t>на</w:t>
      </w:r>
      <w:proofErr w:type="gramEnd"/>
      <w:r w:rsidRPr="00521A52">
        <w:rPr>
          <w:rFonts w:eastAsia="Calibri"/>
          <w:sz w:val="24"/>
          <w:szCs w:val="24"/>
          <w:lang w:eastAsia="en-US"/>
        </w:rPr>
        <w:t xml:space="preserve"> работающего.</w:t>
      </w:r>
    </w:p>
    <w:p w:rsidR="00F41D8C" w:rsidRDefault="00F41D8C" w:rsidP="00F41D8C">
      <w:pPr>
        <w:pStyle w:val="a5"/>
        <w:jc w:val="both"/>
        <w:rPr>
          <w:rFonts w:eastAsia="Calibri"/>
          <w:b/>
          <w:bCs/>
          <w:sz w:val="24"/>
          <w:szCs w:val="24"/>
          <w:lang w:eastAsia="en-US" w:bidi="ru-RU"/>
        </w:rPr>
      </w:pPr>
    </w:p>
    <w:p w:rsidR="00F41D8C" w:rsidRPr="00BA3B9D" w:rsidRDefault="00F41D8C" w:rsidP="00F41D8C">
      <w:pPr>
        <w:pStyle w:val="a5"/>
        <w:jc w:val="both"/>
        <w:rPr>
          <w:rFonts w:eastAsia="Calibri"/>
          <w:b/>
          <w:bCs/>
          <w:sz w:val="24"/>
          <w:szCs w:val="24"/>
          <w:lang w:eastAsia="en-US" w:bidi="ru-RU"/>
        </w:rPr>
      </w:pPr>
      <w:r w:rsidRPr="00BA3B9D">
        <w:rPr>
          <w:rFonts w:eastAsia="Calibri"/>
          <w:b/>
          <w:bCs/>
          <w:sz w:val="24"/>
          <w:szCs w:val="24"/>
          <w:lang w:eastAsia="en-US" w:bidi="ru-RU"/>
        </w:rPr>
        <w:t>Показатели впервые выявленной профессиональной заболеваемости по основным видам экономической деятельности на территории Забайкальского края (на 10 000 работников) за 2018-202</w:t>
      </w:r>
      <w:r>
        <w:rPr>
          <w:rFonts w:eastAsia="Calibri"/>
          <w:b/>
          <w:bCs/>
          <w:sz w:val="24"/>
          <w:szCs w:val="24"/>
          <w:lang w:eastAsia="en-US" w:bidi="ru-RU"/>
        </w:rPr>
        <w:t>2</w:t>
      </w:r>
      <w:r w:rsidRPr="00BA3B9D">
        <w:rPr>
          <w:rFonts w:eastAsia="Calibri"/>
          <w:b/>
          <w:bCs/>
          <w:sz w:val="24"/>
          <w:szCs w:val="24"/>
          <w:lang w:eastAsia="en-US" w:bidi="ru-RU"/>
        </w:rPr>
        <w:t xml:space="preserve"> гг.</w:t>
      </w:r>
    </w:p>
    <w:p w:rsidR="00F41D8C" w:rsidRDefault="00F41D8C" w:rsidP="00F41D8C">
      <w:pPr>
        <w:pStyle w:val="a5"/>
        <w:jc w:val="both"/>
        <w:rPr>
          <w:rFonts w:eastAsia="Calibri"/>
          <w:sz w:val="24"/>
          <w:szCs w:val="24"/>
          <w:lang w:eastAsia="en-US"/>
        </w:rPr>
      </w:pPr>
    </w:p>
    <w:tbl>
      <w:tblPr>
        <w:tblW w:w="9884" w:type="dxa"/>
        <w:tblLayout w:type="fixed"/>
        <w:tblCellMar>
          <w:left w:w="10" w:type="dxa"/>
          <w:right w:w="10" w:type="dxa"/>
        </w:tblCellMar>
        <w:tblLook w:val="04A0" w:firstRow="1" w:lastRow="0" w:firstColumn="1" w:lastColumn="0" w:noHBand="0" w:noVBand="1"/>
      </w:tblPr>
      <w:tblGrid>
        <w:gridCol w:w="4690"/>
        <w:gridCol w:w="990"/>
        <w:gridCol w:w="1134"/>
        <w:gridCol w:w="1134"/>
        <w:gridCol w:w="993"/>
        <w:gridCol w:w="943"/>
      </w:tblGrid>
      <w:tr w:rsidR="00F41D8C" w:rsidRPr="00BA3B9D" w:rsidTr="000B6385">
        <w:trPr>
          <w:trHeight w:hRule="exact" w:val="264"/>
        </w:trPr>
        <w:tc>
          <w:tcPr>
            <w:tcW w:w="4690" w:type="dxa"/>
            <w:vMerge w:val="restart"/>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jc w:val="both"/>
              <w:rPr>
                <w:color w:val="000000"/>
                <w:sz w:val="24"/>
                <w:szCs w:val="24"/>
                <w:lang w:bidi="ru-RU"/>
              </w:rPr>
            </w:pPr>
            <w:r w:rsidRPr="00BA3B9D">
              <w:rPr>
                <w:color w:val="000000"/>
                <w:sz w:val="22"/>
                <w:szCs w:val="22"/>
                <w:lang w:bidi="ru-RU"/>
              </w:rPr>
              <w:t>Виды экономической деятельности</w:t>
            </w:r>
          </w:p>
        </w:tc>
        <w:tc>
          <w:tcPr>
            <w:tcW w:w="990" w:type="dxa"/>
            <w:tcBorders>
              <w:top w:val="single" w:sz="4" w:space="0" w:color="auto"/>
              <w:left w:val="single" w:sz="4" w:space="0" w:color="auto"/>
            </w:tcBorders>
            <w:shd w:val="clear" w:color="auto" w:fill="FFFFFF"/>
          </w:tcPr>
          <w:p w:rsidR="00F41D8C" w:rsidRPr="00BA3B9D" w:rsidRDefault="00F41D8C" w:rsidP="000B6385">
            <w:pPr>
              <w:widowControl w:val="0"/>
              <w:rPr>
                <w:rFonts w:ascii="Arial Unicode MS" w:eastAsia="Arial Unicode MS" w:hAnsi="Arial Unicode MS" w:cs="Arial Unicode MS"/>
                <w:color w:val="000000"/>
                <w:sz w:val="10"/>
                <w:szCs w:val="10"/>
                <w:lang w:bidi="ru-RU"/>
              </w:rPr>
            </w:pPr>
          </w:p>
        </w:tc>
        <w:tc>
          <w:tcPr>
            <w:tcW w:w="4204" w:type="dxa"/>
            <w:gridSpan w:val="4"/>
            <w:tcBorders>
              <w:top w:val="single" w:sz="4" w:space="0" w:color="auto"/>
              <w:left w:val="single" w:sz="4" w:space="0" w:color="auto"/>
              <w:right w:val="single" w:sz="4" w:space="0" w:color="auto"/>
            </w:tcBorders>
            <w:shd w:val="clear" w:color="auto" w:fill="FFFFFF"/>
            <w:vAlign w:val="bottom"/>
          </w:tcPr>
          <w:p w:rsidR="00F41D8C" w:rsidRPr="00BA3B9D" w:rsidRDefault="00F41D8C" w:rsidP="000B6385">
            <w:pPr>
              <w:widowControl w:val="0"/>
              <w:spacing w:line="220" w:lineRule="exact"/>
              <w:rPr>
                <w:color w:val="000000"/>
                <w:sz w:val="24"/>
                <w:szCs w:val="24"/>
                <w:lang w:bidi="ru-RU"/>
              </w:rPr>
            </w:pPr>
            <w:r w:rsidRPr="00BA3B9D">
              <w:rPr>
                <w:color w:val="000000"/>
                <w:sz w:val="22"/>
                <w:szCs w:val="22"/>
                <w:lang w:bidi="ru-RU"/>
              </w:rPr>
              <w:t>Показатель на 10 000 работников</w:t>
            </w:r>
          </w:p>
        </w:tc>
      </w:tr>
      <w:tr w:rsidR="00F41D8C" w:rsidRPr="00BA3B9D" w:rsidTr="000B6385">
        <w:trPr>
          <w:trHeight w:hRule="exact" w:val="518"/>
        </w:trPr>
        <w:tc>
          <w:tcPr>
            <w:tcW w:w="4690" w:type="dxa"/>
            <w:vMerge/>
            <w:tcBorders>
              <w:left w:val="single" w:sz="4" w:space="0" w:color="auto"/>
            </w:tcBorders>
            <w:shd w:val="clear" w:color="auto" w:fill="FFFFFF"/>
            <w:vAlign w:val="center"/>
          </w:tcPr>
          <w:p w:rsidR="00F41D8C" w:rsidRPr="00BA3B9D" w:rsidRDefault="00F41D8C" w:rsidP="000B6385">
            <w:pPr>
              <w:widowControl w:val="0"/>
              <w:rPr>
                <w:rFonts w:ascii="Arial Unicode MS" w:eastAsia="Arial Unicode MS" w:hAnsi="Arial Unicode MS" w:cs="Arial Unicode MS"/>
                <w:color w:val="000000"/>
                <w:sz w:val="24"/>
                <w:szCs w:val="24"/>
                <w:lang w:bidi="ru-RU"/>
              </w:rPr>
            </w:pPr>
          </w:p>
        </w:tc>
        <w:tc>
          <w:tcPr>
            <w:tcW w:w="990"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jc w:val="center"/>
              <w:rPr>
                <w:color w:val="000000"/>
                <w:sz w:val="22"/>
                <w:szCs w:val="22"/>
                <w:lang w:bidi="ru-RU"/>
              </w:rPr>
            </w:pPr>
            <w:r w:rsidRPr="00BA3B9D">
              <w:rPr>
                <w:color w:val="000000"/>
                <w:sz w:val="22"/>
                <w:szCs w:val="22"/>
                <w:lang w:bidi="ru-RU"/>
              </w:rPr>
              <w:t>2018 г.</w:t>
            </w:r>
          </w:p>
        </w:tc>
        <w:tc>
          <w:tcPr>
            <w:tcW w:w="1134"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jc w:val="center"/>
              <w:rPr>
                <w:color w:val="000000"/>
                <w:sz w:val="22"/>
                <w:szCs w:val="22"/>
                <w:lang w:bidi="ru-RU"/>
              </w:rPr>
            </w:pPr>
            <w:r w:rsidRPr="00BA3B9D">
              <w:rPr>
                <w:color w:val="000000"/>
                <w:sz w:val="22"/>
                <w:szCs w:val="22"/>
                <w:lang w:bidi="ru-RU"/>
              </w:rPr>
              <w:t>2019 г.</w:t>
            </w:r>
          </w:p>
        </w:tc>
        <w:tc>
          <w:tcPr>
            <w:tcW w:w="1134"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ind w:left="200"/>
              <w:jc w:val="center"/>
              <w:rPr>
                <w:color w:val="000000"/>
                <w:sz w:val="22"/>
                <w:szCs w:val="22"/>
                <w:lang w:bidi="ru-RU"/>
              </w:rPr>
            </w:pPr>
            <w:r w:rsidRPr="00BA3B9D">
              <w:rPr>
                <w:color w:val="000000"/>
                <w:sz w:val="22"/>
                <w:szCs w:val="22"/>
                <w:lang w:bidi="ru-RU"/>
              </w:rPr>
              <w:t>2020 г.</w:t>
            </w:r>
          </w:p>
        </w:tc>
        <w:tc>
          <w:tcPr>
            <w:tcW w:w="993"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before="60" w:line="220" w:lineRule="exact"/>
              <w:jc w:val="center"/>
              <w:rPr>
                <w:color w:val="000000"/>
                <w:sz w:val="22"/>
                <w:szCs w:val="22"/>
                <w:lang w:bidi="ru-RU"/>
              </w:rPr>
            </w:pPr>
            <w:r w:rsidRPr="00BA3B9D">
              <w:rPr>
                <w:color w:val="000000"/>
                <w:sz w:val="22"/>
                <w:szCs w:val="22"/>
                <w:lang w:bidi="ru-RU"/>
              </w:rPr>
              <w:t>2021 г.</w:t>
            </w:r>
          </w:p>
        </w:tc>
        <w:tc>
          <w:tcPr>
            <w:tcW w:w="943" w:type="dxa"/>
            <w:tcBorders>
              <w:top w:val="single" w:sz="4" w:space="0" w:color="auto"/>
              <w:left w:val="single" w:sz="4" w:space="0" w:color="auto"/>
              <w:right w:val="single" w:sz="4" w:space="0" w:color="auto"/>
            </w:tcBorders>
            <w:shd w:val="clear" w:color="auto" w:fill="FFFFFF"/>
            <w:vAlign w:val="center"/>
          </w:tcPr>
          <w:p w:rsidR="00F41D8C" w:rsidRPr="00F27267" w:rsidRDefault="00F41D8C" w:rsidP="000B6385">
            <w:pPr>
              <w:jc w:val="center"/>
              <w:rPr>
                <w:sz w:val="22"/>
              </w:rPr>
            </w:pPr>
            <w:r w:rsidRPr="00F27267">
              <w:rPr>
                <w:sz w:val="22"/>
              </w:rPr>
              <w:t>2022 г.</w:t>
            </w:r>
          </w:p>
        </w:tc>
      </w:tr>
      <w:tr w:rsidR="00F41D8C" w:rsidRPr="00BA3B9D" w:rsidTr="000B6385">
        <w:trPr>
          <w:trHeight w:hRule="exact" w:val="269"/>
        </w:trPr>
        <w:tc>
          <w:tcPr>
            <w:tcW w:w="4690"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jc w:val="both"/>
              <w:rPr>
                <w:color w:val="000000"/>
                <w:sz w:val="24"/>
                <w:szCs w:val="24"/>
                <w:lang w:bidi="ru-RU"/>
              </w:rPr>
            </w:pPr>
            <w:r w:rsidRPr="00BA3B9D">
              <w:rPr>
                <w:color w:val="000000"/>
                <w:sz w:val="22"/>
                <w:szCs w:val="22"/>
                <w:lang w:bidi="ru-RU"/>
              </w:rPr>
              <w:t>Добыча полезных ископаемых</w:t>
            </w:r>
          </w:p>
        </w:tc>
        <w:tc>
          <w:tcPr>
            <w:tcW w:w="990"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43,11</w:t>
            </w:r>
          </w:p>
        </w:tc>
        <w:tc>
          <w:tcPr>
            <w:tcW w:w="1134"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36,44</w:t>
            </w:r>
          </w:p>
        </w:tc>
        <w:tc>
          <w:tcPr>
            <w:tcW w:w="1134"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ind w:left="300"/>
              <w:rPr>
                <w:color w:val="000000"/>
                <w:sz w:val="24"/>
                <w:szCs w:val="24"/>
                <w:lang w:bidi="ru-RU"/>
              </w:rPr>
            </w:pPr>
            <w:r w:rsidRPr="00BA3B9D">
              <w:rPr>
                <w:color w:val="000000"/>
                <w:sz w:val="22"/>
                <w:szCs w:val="22"/>
                <w:lang w:bidi="ru-RU"/>
              </w:rPr>
              <w:t>27,03</w:t>
            </w:r>
          </w:p>
        </w:tc>
        <w:tc>
          <w:tcPr>
            <w:tcW w:w="993"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jc w:val="center"/>
              <w:rPr>
                <w:color w:val="000000"/>
                <w:sz w:val="22"/>
                <w:szCs w:val="22"/>
                <w:lang w:bidi="ru-RU"/>
              </w:rPr>
            </w:pPr>
            <w:r w:rsidRPr="00BA3B9D">
              <w:rPr>
                <w:color w:val="000000"/>
                <w:sz w:val="22"/>
                <w:szCs w:val="22"/>
                <w:lang w:bidi="ru-RU"/>
              </w:rPr>
              <w:t>34</w:t>
            </w:r>
          </w:p>
        </w:tc>
        <w:tc>
          <w:tcPr>
            <w:tcW w:w="943" w:type="dxa"/>
            <w:tcBorders>
              <w:top w:val="single" w:sz="4" w:space="0" w:color="auto"/>
              <w:left w:val="single" w:sz="4" w:space="0" w:color="auto"/>
              <w:right w:val="single" w:sz="4" w:space="0" w:color="auto"/>
            </w:tcBorders>
            <w:shd w:val="clear" w:color="auto" w:fill="FFFFFF"/>
            <w:vAlign w:val="center"/>
          </w:tcPr>
          <w:p w:rsidR="00F41D8C" w:rsidRPr="00F27267" w:rsidRDefault="00F41D8C" w:rsidP="000B6385">
            <w:pPr>
              <w:jc w:val="center"/>
              <w:rPr>
                <w:sz w:val="22"/>
              </w:rPr>
            </w:pPr>
            <w:r w:rsidRPr="00F27267">
              <w:rPr>
                <w:sz w:val="22"/>
              </w:rPr>
              <w:t>24</w:t>
            </w:r>
          </w:p>
        </w:tc>
      </w:tr>
      <w:tr w:rsidR="00F41D8C" w:rsidRPr="00BA3B9D" w:rsidTr="000B6385">
        <w:trPr>
          <w:trHeight w:hRule="exact" w:val="768"/>
        </w:trPr>
        <w:tc>
          <w:tcPr>
            <w:tcW w:w="4690"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50" w:lineRule="exact"/>
              <w:rPr>
                <w:color w:val="000000"/>
                <w:sz w:val="24"/>
                <w:szCs w:val="24"/>
                <w:lang w:bidi="ru-RU"/>
              </w:rPr>
            </w:pPr>
            <w:r w:rsidRPr="00BA3B9D">
              <w:rPr>
                <w:color w:val="000000"/>
                <w:sz w:val="22"/>
                <w:szCs w:val="22"/>
                <w:lang w:bidi="ru-RU"/>
              </w:rPr>
              <w:t>Водоснабжение; водоотведение, организация сбора и утилизации отходов, деятельность по ликвидации загрязнений</w:t>
            </w:r>
          </w:p>
        </w:tc>
        <w:tc>
          <w:tcPr>
            <w:tcW w:w="990"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16,67</w:t>
            </w:r>
          </w:p>
        </w:tc>
        <w:tc>
          <w:tcPr>
            <w:tcW w:w="1134" w:type="dxa"/>
            <w:tcBorders>
              <w:top w:val="single" w:sz="4" w:space="0" w:color="auto"/>
              <w:left w:val="single" w:sz="4" w:space="0" w:color="auto"/>
            </w:tcBorders>
            <w:shd w:val="clear" w:color="auto" w:fill="FFFFFF"/>
          </w:tcPr>
          <w:p w:rsidR="00F41D8C" w:rsidRPr="00BA3B9D" w:rsidRDefault="00F41D8C" w:rsidP="000B6385">
            <w:pPr>
              <w:widowControl w:val="0"/>
              <w:rPr>
                <w:rFonts w:ascii="Arial Unicode MS" w:eastAsia="Arial Unicode MS" w:hAnsi="Arial Unicode MS" w:cs="Arial Unicode MS"/>
                <w:color w:val="000000"/>
                <w:sz w:val="10"/>
                <w:szCs w:val="10"/>
                <w:lang w:bidi="ru-RU"/>
              </w:rPr>
            </w:pPr>
          </w:p>
        </w:tc>
        <w:tc>
          <w:tcPr>
            <w:tcW w:w="1134" w:type="dxa"/>
            <w:tcBorders>
              <w:top w:val="single" w:sz="4" w:space="0" w:color="auto"/>
              <w:left w:val="single" w:sz="4" w:space="0" w:color="auto"/>
            </w:tcBorders>
            <w:shd w:val="clear" w:color="auto" w:fill="FFFFFF"/>
          </w:tcPr>
          <w:p w:rsidR="00F41D8C" w:rsidRPr="00BA3B9D" w:rsidRDefault="00F41D8C" w:rsidP="000B6385">
            <w:pPr>
              <w:widowControl w:val="0"/>
              <w:rPr>
                <w:rFonts w:ascii="Arial Unicode MS" w:eastAsia="Arial Unicode MS" w:hAnsi="Arial Unicode MS" w:cs="Arial Unicode MS"/>
                <w:color w:val="000000"/>
                <w:sz w:val="10"/>
                <w:szCs w:val="10"/>
                <w:lang w:bidi="ru-RU"/>
              </w:rPr>
            </w:pPr>
          </w:p>
        </w:tc>
        <w:tc>
          <w:tcPr>
            <w:tcW w:w="993" w:type="dxa"/>
            <w:tcBorders>
              <w:top w:val="single" w:sz="4" w:space="0" w:color="auto"/>
              <w:left w:val="single" w:sz="4" w:space="0" w:color="auto"/>
            </w:tcBorders>
            <w:shd w:val="clear" w:color="auto" w:fill="FFFFFF"/>
          </w:tcPr>
          <w:p w:rsidR="00F41D8C" w:rsidRPr="00BA3B9D" w:rsidRDefault="00F41D8C" w:rsidP="000B6385">
            <w:pPr>
              <w:widowControl w:val="0"/>
              <w:jc w:val="center"/>
              <w:rPr>
                <w:rFonts w:eastAsia="Arial Unicode MS"/>
                <w:color w:val="000000"/>
                <w:sz w:val="22"/>
                <w:szCs w:val="22"/>
                <w:lang w:bidi="ru-RU"/>
              </w:rPr>
            </w:pPr>
            <w:r w:rsidRPr="00BA3B9D">
              <w:rPr>
                <w:rFonts w:eastAsia="Arial Unicode MS"/>
                <w:color w:val="000000"/>
                <w:sz w:val="22"/>
                <w:szCs w:val="22"/>
                <w:lang w:bidi="ru-RU"/>
              </w:rPr>
              <w:t>1,5</w:t>
            </w:r>
          </w:p>
        </w:tc>
        <w:tc>
          <w:tcPr>
            <w:tcW w:w="943" w:type="dxa"/>
            <w:tcBorders>
              <w:top w:val="single" w:sz="4" w:space="0" w:color="auto"/>
              <w:left w:val="single" w:sz="4" w:space="0" w:color="auto"/>
              <w:right w:val="single" w:sz="4" w:space="0" w:color="auto"/>
            </w:tcBorders>
            <w:shd w:val="clear" w:color="auto" w:fill="FFFFFF"/>
            <w:vAlign w:val="center"/>
          </w:tcPr>
          <w:p w:rsidR="00F41D8C" w:rsidRPr="00F27267" w:rsidRDefault="00F41D8C" w:rsidP="000B6385">
            <w:pPr>
              <w:jc w:val="center"/>
              <w:rPr>
                <w:rFonts w:eastAsia="Arial Unicode MS"/>
                <w:sz w:val="22"/>
              </w:rPr>
            </w:pPr>
            <w:r w:rsidRPr="00F27267">
              <w:rPr>
                <w:rFonts w:eastAsia="Arial Unicode MS"/>
                <w:sz w:val="22"/>
              </w:rPr>
              <w:t>1,1</w:t>
            </w:r>
          </w:p>
        </w:tc>
      </w:tr>
      <w:tr w:rsidR="00F41D8C" w:rsidRPr="00BA3B9D" w:rsidTr="000B6385">
        <w:trPr>
          <w:trHeight w:hRule="exact" w:val="269"/>
        </w:trPr>
        <w:tc>
          <w:tcPr>
            <w:tcW w:w="4690"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rPr>
                <w:color w:val="000000"/>
                <w:sz w:val="24"/>
                <w:szCs w:val="24"/>
                <w:lang w:bidi="ru-RU"/>
              </w:rPr>
            </w:pPr>
            <w:r w:rsidRPr="00BA3B9D">
              <w:rPr>
                <w:color w:val="000000"/>
                <w:sz w:val="22"/>
                <w:szCs w:val="22"/>
                <w:lang w:bidi="ru-RU"/>
              </w:rPr>
              <w:t>Транспортировка и хранение</w:t>
            </w:r>
          </w:p>
        </w:tc>
        <w:tc>
          <w:tcPr>
            <w:tcW w:w="990"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1,81</w:t>
            </w:r>
          </w:p>
        </w:tc>
        <w:tc>
          <w:tcPr>
            <w:tcW w:w="1134"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1,68</w:t>
            </w:r>
          </w:p>
        </w:tc>
        <w:tc>
          <w:tcPr>
            <w:tcW w:w="1134"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ind w:left="300"/>
              <w:rPr>
                <w:color w:val="000000"/>
                <w:sz w:val="24"/>
                <w:szCs w:val="24"/>
                <w:lang w:bidi="ru-RU"/>
              </w:rPr>
            </w:pPr>
            <w:r w:rsidRPr="00BA3B9D">
              <w:rPr>
                <w:color w:val="000000"/>
                <w:sz w:val="22"/>
                <w:szCs w:val="22"/>
                <w:lang w:bidi="ru-RU"/>
              </w:rPr>
              <w:t>1,14</w:t>
            </w:r>
          </w:p>
        </w:tc>
        <w:tc>
          <w:tcPr>
            <w:tcW w:w="993"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jc w:val="center"/>
              <w:rPr>
                <w:color w:val="000000"/>
                <w:sz w:val="22"/>
                <w:szCs w:val="22"/>
                <w:lang w:bidi="ru-RU"/>
              </w:rPr>
            </w:pPr>
            <w:r w:rsidRPr="00BA3B9D">
              <w:rPr>
                <w:color w:val="000000"/>
                <w:sz w:val="22"/>
                <w:szCs w:val="22"/>
                <w:lang w:bidi="ru-RU"/>
              </w:rPr>
              <w:t>1,5</w:t>
            </w:r>
          </w:p>
        </w:tc>
        <w:tc>
          <w:tcPr>
            <w:tcW w:w="943" w:type="dxa"/>
            <w:tcBorders>
              <w:top w:val="single" w:sz="4" w:space="0" w:color="auto"/>
              <w:left w:val="single" w:sz="4" w:space="0" w:color="auto"/>
              <w:right w:val="single" w:sz="4" w:space="0" w:color="auto"/>
            </w:tcBorders>
            <w:shd w:val="clear" w:color="auto" w:fill="FFFFFF"/>
            <w:vAlign w:val="center"/>
          </w:tcPr>
          <w:p w:rsidR="00F41D8C" w:rsidRPr="00F27267" w:rsidRDefault="00F41D8C" w:rsidP="000B6385">
            <w:pPr>
              <w:jc w:val="center"/>
              <w:rPr>
                <w:sz w:val="22"/>
              </w:rPr>
            </w:pPr>
            <w:r w:rsidRPr="00F27267">
              <w:rPr>
                <w:sz w:val="22"/>
              </w:rPr>
              <w:t>2,4</w:t>
            </w:r>
          </w:p>
        </w:tc>
      </w:tr>
      <w:tr w:rsidR="00F41D8C" w:rsidRPr="00BA3B9D" w:rsidTr="000B6385">
        <w:trPr>
          <w:trHeight w:hRule="exact" w:val="509"/>
        </w:trPr>
        <w:tc>
          <w:tcPr>
            <w:tcW w:w="4690"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45" w:lineRule="exact"/>
              <w:rPr>
                <w:color w:val="000000"/>
                <w:sz w:val="24"/>
                <w:szCs w:val="24"/>
                <w:lang w:bidi="ru-RU"/>
              </w:rPr>
            </w:pPr>
            <w:r w:rsidRPr="00BA3B9D">
              <w:rPr>
                <w:color w:val="000000"/>
                <w:sz w:val="22"/>
                <w:szCs w:val="22"/>
                <w:lang w:bidi="ru-RU"/>
              </w:rPr>
              <w:t>Обеспечение электрической энергией, газом и паром; кондиционирование воздуха</w:t>
            </w:r>
          </w:p>
        </w:tc>
        <w:tc>
          <w:tcPr>
            <w:tcW w:w="990"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1,20</w:t>
            </w:r>
          </w:p>
        </w:tc>
        <w:tc>
          <w:tcPr>
            <w:tcW w:w="1134"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2,38</w:t>
            </w:r>
          </w:p>
        </w:tc>
        <w:tc>
          <w:tcPr>
            <w:tcW w:w="1134"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ind w:left="300"/>
              <w:rPr>
                <w:color w:val="000000"/>
                <w:sz w:val="24"/>
                <w:szCs w:val="24"/>
                <w:lang w:bidi="ru-RU"/>
              </w:rPr>
            </w:pPr>
            <w:r w:rsidRPr="00BA3B9D">
              <w:rPr>
                <w:color w:val="000000"/>
                <w:sz w:val="22"/>
                <w:szCs w:val="22"/>
                <w:lang w:bidi="ru-RU"/>
              </w:rPr>
              <w:t>2,79</w:t>
            </w:r>
          </w:p>
        </w:tc>
        <w:tc>
          <w:tcPr>
            <w:tcW w:w="993"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jc w:val="center"/>
              <w:rPr>
                <w:color w:val="000000"/>
                <w:sz w:val="22"/>
                <w:szCs w:val="22"/>
                <w:lang w:bidi="ru-RU"/>
              </w:rPr>
            </w:pPr>
            <w:r w:rsidRPr="00BA3B9D">
              <w:rPr>
                <w:color w:val="000000"/>
                <w:sz w:val="22"/>
                <w:szCs w:val="22"/>
                <w:lang w:bidi="ru-RU"/>
              </w:rPr>
              <w:t>2,4</w:t>
            </w:r>
          </w:p>
        </w:tc>
        <w:tc>
          <w:tcPr>
            <w:tcW w:w="943" w:type="dxa"/>
            <w:tcBorders>
              <w:top w:val="single" w:sz="4" w:space="0" w:color="auto"/>
              <w:left w:val="single" w:sz="4" w:space="0" w:color="auto"/>
              <w:right w:val="single" w:sz="4" w:space="0" w:color="auto"/>
            </w:tcBorders>
            <w:shd w:val="clear" w:color="auto" w:fill="FFFFFF"/>
            <w:vAlign w:val="center"/>
          </w:tcPr>
          <w:p w:rsidR="00F41D8C" w:rsidRPr="00F27267" w:rsidRDefault="00F41D8C" w:rsidP="000B6385">
            <w:pPr>
              <w:jc w:val="center"/>
              <w:rPr>
                <w:rFonts w:eastAsia="Arial Unicode MS"/>
                <w:sz w:val="22"/>
              </w:rPr>
            </w:pPr>
          </w:p>
        </w:tc>
      </w:tr>
      <w:tr w:rsidR="00F41D8C" w:rsidRPr="00BA3B9D" w:rsidTr="000B6385">
        <w:trPr>
          <w:trHeight w:hRule="exact" w:val="288"/>
        </w:trPr>
        <w:tc>
          <w:tcPr>
            <w:tcW w:w="4690"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rPr>
                <w:color w:val="000000"/>
                <w:sz w:val="24"/>
                <w:szCs w:val="24"/>
                <w:lang w:bidi="ru-RU"/>
              </w:rPr>
            </w:pPr>
            <w:r w:rsidRPr="00BA3B9D">
              <w:rPr>
                <w:color w:val="000000"/>
                <w:sz w:val="22"/>
                <w:szCs w:val="22"/>
                <w:lang w:bidi="ru-RU"/>
              </w:rPr>
              <w:t>Строительство</w:t>
            </w:r>
          </w:p>
        </w:tc>
        <w:tc>
          <w:tcPr>
            <w:tcW w:w="990" w:type="dxa"/>
            <w:tcBorders>
              <w:top w:val="single" w:sz="4" w:space="0" w:color="auto"/>
              <w:left w:val="single" w:sz="4" w:space="0" w:color="auto"/>
            </w:tcBorders>
            <w:shd w:val="clear" w:color="auto" w:fill="FFFFFF"/>
          </w:tcPr>
          <w:p w:rsidR="00F41D8C" w:rsidRPr="00BA3B9D" w:rsidRDefault="00F41D8C" w:rsidP="000B6385">
            <w:pPr>
              <w:widowControl w:val="0"/>
              <w:rPr>
                <w:rFonts w:ascii="Arial Unicode MS" w:eastAsia="Arial Unicode MS" w:hAnsi="Arial Unicode MS" w:cs="Arial Unicode MS"/>
                <w:color w:val="000000"/>
                <w:sz w:val="10"/>
                <w:szCs w:val="10"/>
                <w:lang w:bidi="ru-RU"/>
              </w:rPr>
            </w:pPr>
          </w:p>
        </w:tc>
        <w:tc>
          <w:tcPr>
            <w:tcW w:w="1134" w:type="dxa"/>
            <w:tcBorders>
              <w:top w:val="single" w:sz="4" w:space="0" w:color="auto"/>
              <w:left w:val="single" w:sz="4" w:space="0" w:color="auto"/>
            </w:tcBorders>
            <w:shd w:val="clear" w:color="auto" w:fill="FFFFFF"/>
          </w:tcPr>
          <w:p w:rsidR="00F41D8C" w:rsidRPr="00BA3B9D" w:rsidRDefault="00F41D8C" w:rsidP="000B6385">
            <w:pPr>
              <w:widowControl w:val="0"/>
              <w:rPr>
                <w:rFonts w:ascii="Arial Unicode MS" w:eastAsia="Arial Unicode MS" w:hAnsi="Arial Unicode MS" w:cs="Arial Unicode MS"/>
                <w:color w:val="000000"/>
                <w:sz w:val="10"/>
                <w:szCs w:val="10"/>
                <w:lang w:bidi="ru-RU"/>
              </w:rPr>
            </w:pPr>
          </w:p>
        </w:tc>
        <w:tc>
          <w:tcPr>
            <w:tcW w:w="1134"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20" w:lineRule="exact"/>
              <w:ind w:left="300"/>
              <w:rPr>
                <w:color w:val="000000"/>
                <w:sz w:val="24"/>
                <w:szCs w:val="24"/>
                <w:lang w:bidi="ru-RU"/>
              </w:rPr>
            </w:pPr>
            <w:r w:rsidRPr="00BA3B9D">
              <w:rPr>
                <w:color w:val="000000"/>
                <w:sz w:val="22"/>
                <w:szCs w:val="22"/>
                <w:lang w:bidi="ru-RU"/>
              </w:rPr>
              <w:t>0,34</w:t>
            </w:r>
          </w:p>
        </w:tc>
        <w:tc>
          <w:tcPr>
            <w:tcW w:w="993" w:type="dxa"/>
            <w:tcBorders>
              <w:top w:val="single" w:sz="4" w:space="0" w:color="auto"/>
              <w:left w:val="single" w:sz="4" w:space="0" w:color="auto"/>
            </w:tcBorders>
            <w:shd w:val="clear" w:color="auto" w:fill="FFFFFF"/>
          </w:tcPr>
          <w:p w:rsidR="00F41D8C" w:rsidRPr="00BA3B9D" w:rsidRDefault="00F41D8C" w:rsidP="000B6385">
            <w:pPr>
              <w:widowControl w:val="0"/>
              <w:jc w:val="center"/>
              <w:rPr>
                <w:rFonts w:eastAsia="Arial Unicode MS"/>
                <w:color w:val="000000"/>
                <w:sz w:val="22"/>
                <w:szCs w:val="22"/>
                <w:lang w:bidi="ru-RU"/>
              </w:rPr>
            </w:pPr>
            <w:r w:rsidRPr="00BA3B9D">
              <w:rPr>
                <w:rFonts w:eastAsia="Arial Unicode MS"/>
                <w:color w:val="000000"/>
                <w:sz w:val="22"/>
                <w:szCs w:val="22"/>
                <w:lang w:bidi="ru-RU"/>
              </w:rPr>
              <w:t>0,32</w:t>
            </w:r>
          </w:p>
        </w:tc>
        <w:tc>
          <w:tcPr>
            <w:tcW w:w="943" w:type="dxa"/>
            <w:tcBorders>
              <w:top w:val="single" w:sz="4" w:space="0" w:color="auto"/>
              <w:left w:val="single" w:sz="4" w:space="0" w:color="auto"/>
              <w:right w:val="single" w:sz="4" w:space="0" w:color="auto"/>
            </w:tcBorders>
            <w:shd w:val="clear" w:color="auto" w:fill="FFFFFF"/>
            <w:vAlign w:val="center"/>
          </w:tcPr>
          <w:p w:rsidR="00F41D8C" w:rsidRPr="00F27267" w:rsidRDefault="00F41D8C" w:rsidP="000B6385">
            <w:pPr>
              <w:jc w:val="center"/>
              <w:rPr>
                <w:sz w:val="22"/>
              </w:rPr>
            </w:pPr>
          </w:p>
        </w:tc>
      </w:tr>
      <w:tr w:rsidR="00F41D8C" w:rsidRPr="00BA3B9D" w:rsidTr="000B6385">
        <w:trPr>
          <w:trHeight w:hRule="exact" w:val="768"/>
        </w:trPr>
        <w:tc>
          <w:tcPr>
            <w:tcW w:w="4690" w:type="dxa"/>
            <w:tcBorders>
              <w:top w:val="single" w:sz="4" w:space="0" w:color="auto"/>
              <w:left w:val="single" w:sz="4" w:space="0" w:color="auto"/>
            </w:tcBorders>
            <w:shd w:val="clear" w:color="auto" w:fill="FFFFFF"/>
          </w:tcPr>
          <w:p w:rsidR="00F41D8C" w:rsidRPr="00BA3B9D" w:rsidRDefault="00F41D8C" w:rsidP="000B6385">
            <w:pPr>
              <w:widowControl w:val="0"/>
              <w:spacing w:line="254" w:lineRule="exact"/>
              <w:rPr>
                <w:color w:val="000000"/>
                <w:sz w:val="24"/>
                <w:szCs w:val="24"/>
                <w:lang w:bidi="ru-RU"/>
              </w:rPr>
            </w:pPr>
            <w:r w:rsidRPr="00BA3B9D">
              <w:rPr>
                <w:color w:val="000000"/>
                <w:sz w:val="22"/>
                <w:szCs w:val="22"/>
                <w:lang w:bidi="ru-RU"/>
              </w:rPr>
              <w:t>Государственное управление и обеспечение военной безопасности; обязательное социальное обеспечение</w:t>
            </w:r>
          </w:p>
        </w:tc>
        <w:tc>
          <w:tcPr>
            <w:tcW w:w="990"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0,89</w:t>
            </w:r>
          </w:p>
        </w:tc>
        <w:tc>
          <w:tcPr>
            <w:tcW w:w="1134"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0,46</w:t>
            </w:r>
          </w:p>
        </w:tc>
        <w:tc>
          <w:tcPr>
            <w:tcW w:w="1134" w:type="dxa"/>
            <w:tcBorders>
              <w:top w:val="single" w:sz="4" w:space="0" w:color="auto"/>
              <w:left w:val="single" w:sz="4" w:space="0" w:color="auto"/>
            </w:tcBorders>
            <w:shd w:val="clear" w:color="auto" w:fill="FFFFFF"/>
          </w:tcPr>
          <w:p w:rsidR="00F41D8C" w:rsidRPr="00BA3B9D" w:rsidRDefault="00F41D8C" w:rsidP="000B6385">
            <w:pPr>
              <w:widowControl w:val="0"/>
              <w:rPr>
                <w:rFonts w:ascii="Arial Unicode MS" w:eastAsia="Arial Unicode MS" w:hAnsi="Arial Unicode MS" w:cs="Arial Unicode MS"/>
                <w:color w:val="000000"/>
                <w:sz w:val="10"/>
                <w:szCs w:val="10"/>
                <w:lang w:bidi="ru-RU"/>
              </w:rPr>
            </w:pPr>
          </w:p>
        </w:tc>
        <w:tc>
          <w:tcPr>
            <w:tcW w:w="993" w:type="dxa"/>
            <w:tcBorders>
              <w:top w:val="single" w:sz="4" w:space="0" w:color="auto"/>
              <w:left w:val="single" w:sz="4" w:space="0" w:color="auto"/>
            </w:tcBorders>
            <w:shd w:val="clear" w:color="auto" w:fill="FFFFFF"/>
          </w:tcPr>
          <w:p w:rsidR="00F41D8C" w:rsidRPr="00BA3B9D" w:rsidRDefault="00F41D8C" w:rsidP="000B6385">
            <w:pPr>
              <w:widowControl w:val="0"/>
              <w:jc w:val="center"/>
              <w:rPr>
                <w:rFonts w:eastAsia="Arial Unicode MS"/>
                <w:color w:val="000000"/>
                <w:sz w:val="22"/>
                <w:szCs w:val="22"/>
                <w:lang w:bidi="ru-RU"/>
              </w:rPr>
            </w:pPr>
          </w:p>
        </w:tc>
        <w:tc>
          <w:tcPr>
            <w:tcW w:w="943" w:type="dxa"/>
            <w:tcBorders>
              <w:top w:val="single" w:sz="4" w:space="0" w:color="auto"/>
              <w:left w:val="single" w:sz="4" w:space="0" w:color="auto"/>
              <w:right w:val="single" w:sz="4" w:space="0" w:color="auto"/>
            </w:tcBorders>
            <w:shd w:val="clear" w:color="auto" w:fill="FFFFFF"/>
            <w:vAlign w:val="center"/>
          </w:tcPr>
          <w:p w:rsidR="00F41D8C" w:rsidRPr="00F27267" w:rsidRDefault="00F41D8C" w:rsidP="000B6385">
            <w:pPr>
              <w:jc w:val="center"/>
              <w:rPr>
                <w:rFonts w:eastAsia="Arial Unicode MS"/>
                <w:sz w:val="22"/>
              </w:rPr>
            </w:pPr>
          </w:p>
        </w:tc>
      </w:tr>
      <w:tr w:rsidR="00F41D8C" w:rsidRPr="00BA3B9D" w:rsidTr="000B6385">
        <w:trPr>
          <w:trHeight w:hRule="exact" w:val="518"/>
        </w:trPr>
        <w:tc>
          <w:tcPr>
            <w:tcW w:w="4690"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59" w:lineRule="exact"/>
              <w:rPr>
                <w:color w:val="000000"/>
                <w:sz w:val="24"/>
                <w:szCs w:val="24"/>
                <w:lang w:bidi="ru-RU"/>
              </w:rPr>
            </w:pPr>
            <w:r w:rsidRPr="00BA3B9D">
              <w:rPr>
                <w:color w:val="000000"/>
                <w:sz w:val="22"/>
                <w:szCs w:val="22"/>
                <w:lang w:bidi="ru-RU"/>
              </w:rPr>
              <w:lastRenderedPageBreak/>
              <w:t>Сельское хозяйство, охота, рыболовство и рыболовство</w:t>
            </w:r>
          </w:p>
        </w:tc>
        <w:tc>
          <w:tcPr>
            <w:tcW w:w="990"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0,69</w:t>
            </w:r>
          </w:p>
        </w:tc>
        <w:tc>
          <w:tcPr>
            <w:tcW w:w="1134"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0,26</w:t>
            </w:r>
          </w:p>
        </w:tc>
        <w:tc>
          <w:tcPr>
            <w:tcW w:w="1134"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ind w:left="300"/>
              <w:rPr>
                <w:color w:val="000000"/>
                <w:sz w:val="24"/>
                <w:szCs w:val="24"/>
                <w:lang w:bidi="ru-RU"/>
              </w:rPr>
            </w:pPr>
            <w:r w:rsidRPr="00BA3B9D">
              <w:rPr>
                <w:color w:val="000000"/>
                <w:sz w:val="22"/>
                <w:szCs w:val="22"/>
                <w:lang w:bidi="ru-RU"/>
              </w:rPr>
              <w:t>0,27</w:t>
            </w:r>
          </w:p>
        </w:tc>
        <w:tc>
          <w:tcPr>
            <w:tcW w:w="993"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jc w:val="center"/>
              <w:rPr>
                <w:color w:val="000000"/>
                <w:sz w:val="22"/>
                <w:szCs w:val="22"/>
                <w:lang w:bidi="ru-RU"/>
              </w:rPr>
            </w:pPr>
            <w:r w:rsidRPr="00BA3B9D">
              <w:rPr>
                <w:color w:val="000000"/>
                <w:sz w:val="22"/>
                <w:szCs w:val="22"/>
                <w:lang w:bidi="ru-RU"/>
              </w:rPr>
              <w:t>0,20</w:t>
            </w:r>
          </w:p>
        </w:tc>
        <w:tc>
          <w:tcPr>
            <w:tcW w:w="943" w:type="dxa"/>
            <w:tcBorders>
              <w:top w:val="single" w:sz="4" w:space="0" w:color="auto"/>
              <w:left w:val="single" w:sz="4" w:space="0" w:color="auto"/>
              <w:right w:val="single" w:sz="4" w:space="0" w:color="auto"/>
            </w:tcBorders>
            <w:shd w:val="clear" w:color="auto" w:fill="FFFFFF"/>
            <w:vAlign w:val="center"/>
          </w:tcPr>
          <w:p w:rsidR="00F41D8C" w:rsidRPr="00F27267" w:rsidRDefault="00F41D8C" w:rsidP="000B6385">
            <w:pPr>
              <w:jc w:val="center"/>
              <w:rPr>
                <w:sz w:val="22"/>
              </w:rPr>
            </w:pPr>
            <w:r w:rsidRPr="00F27267">
              <w:rPr>
                <w:sz w:val="22"/>
              </w:rPr>
              <w:t>0,18</w:t>
            </w:r>
          </w:p>
        </w:tc>
      </w:tr>
      <w:tr w:rsidR="00F41D8C" w:rsidRPr="00BA3B9D" w:rsidTr="000B6385">
        <w:trPr>
          <w:trHeight w:hRule="exact" w:val="518"/>
        </w:trPr>
        <w:tc>
          <w:tcPr>
            <w:tcW w:w="4690" w:type="dxa"/>
            <w:tcBorders>
              <w:top w:val="single" w:sz="4" w:space="0" w:color="auto"/>
              <w:left w:val="single" w:sz="4" w:space="0" w:color="auto"/>
            </w:tcBorders>
            <w:shd w:val="clear" w:color="auto" w:fill="FFFFFF"/>
            <w:vAlign w:val="bottom"/>
          </w:tcPr>
          <w:p w:rsidR="00F41D8C" w:rsidRPr="00BA3B9D" w:rsidRDefault="00F41D8C" w:rsidP="000B6385">
            <w:pPr>
              <w:widowControl w:val="0"/>
              <w:spacing w:line="250" w:lineRule="exact"/>
              <w:rPr>
                <w:color w:val="000000"/>
                <w:sz w:val="24"/>
                <w:szCs w:val="24"/>
                <w:lang w:bidi="ru-RU"/>
              </w:rPr>
            </w:pPr>
            <w:r w:rsidRPr="00BA3B9D">
              <w:rPr>
                <w:color w:val="000000"/>
                <w:sz w:val="22"/>
                <w:szCs w:val="22"/>
                <w:lang w:bidi="ru-RU"/>
              </w:rPr>
              <w:t>Торговля оптовая и розничная; ремонт автотранспортных средств и мотоциклов</w:t>
            </w:r>
          </w:p>
        </w:tc>
        <w:tc>
          <w:tcPr>
            <w:tcW w:w="990" w:type="dxa"/>
            <w:tcBorders>
              <w:top w:val="single" w:sz="4" w:space="0" w:color="auto"/>
              <w:left w:val="single" w:sz="4" w:space="0" w:color="auto"/>
            </w:tcBorders>
            <w:shd w:val="clear" w:color="auto" w:fill="FFFFFF"/>
          </w:tcPr>
          <w:p w:rsidR="00F41D8C" w:rsidRPr="00BA3B9D" w:rsidRDefault="00F41D8C" w:rsidP="000B6385">
            <w:pPr>
              <w:widowControl w:val="0"/>
              <w:rPr>
                <w:rFonts w:ascii="Arial Unicode MS" w:eastAsia="Arial Unicode MS" w:hAnsi="Arial Unicode MS" w:cs="Arial Unicode MS"/>
                <w:color w:val="000000"/>
                <w:sz w:val="10"/>
                <w:szCs w:val="10"/>
                <w:lang w:bidi="ru-RU"/>
              </w:rPr>
            </w:pPr>
          </w:p>
        </w:tc>
        <w:tc>
          <w:tcPr>
            <w:tcW w:w="1134" w:type="dxa"/>
            <w:tcBorders>
              <w:top w:val="single" w:sz="4" w:space="0" w:color="auto"/>
              <w:left w:val="single" w:sz="4" w:space="0" w:color="auto"/>
            </w:tcBorders>
            <w:shd w:val="clear" w:color="auto" w:fill="FFFFFF"/>
            <w:vAlign w:val="center"/>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0,12</w:t>
            </w:r>
          </w:p>
        </w:tc>
        <w:tc>
          <w:tcPr>
            <w:tcW w:w="1134" w:type="dxa"/>
            <w:tcBorders>
              <w:top w:val="single" w:sz="4" w:space="0" w:color="auto"/>
              <w:left w:val="single" w:sz="4" w:space="0" w:color="auto"/>
            </w:tcBorders>
            <w:shd w:val="clear" w:color="auto" w:fill="FFFFFF"/>
          </w:tcPr>
          <w:p w:rsidR="00F41D8C" w:rsidRPr="00BA3B9D" w:rsidRDefault="00F41D8C" w:rsidP="000B6385">
            <w:pPr>
              <w:widowControl w:val="0"/>
              <w:rPr>
                <w:rFonts w:ascii="Arial Unicode MS" w:eastAsia="Arial Unicode MS" w:hAnsi="Arial Unicode MS" w:cs="Arial Unicode MS"/>
                <w:color w:val="000000"/>
                <w:sz w:val="10"/>
                <w:szCs w:val="10"/>
                <w:lang w:bidi="ru-RU"/>
              </w:rPr>
            </w:pPr>
          </w:p>
        </w:tc>
        <w:tc>
          <w:tcPr>
            <w:tcW w:w="993" w:type="dxa"/>
            <w:tcBorders>
              <w:top w:val="single" w:sz="4" w:space="0" w:color="auto"/>
              <w:left w:val="single" w:sz="4" w:space="0" w:color="auto"/>
            </w:tcBorders>
            <w:shd w:val="clear" w:color="auto" w:fill="FFFFFF"/>
          </w:tcPr>
          <w:p w:rsidR="00F41D8C" w:rsidRPr="00BA3B9D" w:rsidRDefault="00F41D8C" w:rsidP="000B6385">
            <w:pPr>
              <w:widowControl w:val="0"/>
              <w:jc w:val="center"/>
              <w:rPr>
                <w:rFonts w:eastAsia="Arial Unicode MS"/>
                <w:color w:val="000000"/>
                <w:sz w:val="22"/>
                <w:szCs w:val="22"/>
                <w:lang w:bidi="ru-RU"/>
              </w:rPr>
            </w:pPr>
            <w:r w:rsidRPr="00BA3B9D">
              <w:rPr>
                <w:rFonts w:eastAsia="Arial Unicode MS"/>
                <w:color w:val="000000"/>
                <w:sz w:val="22"/>
                <w:szCs w:val="22"/>
                <w:lang w:bidi="ru-RU"/>
              </w:rPr>
              <w:t>0,12</w:t>
            </w:r>
          </w:p>
        </w:tc>
        <w:tc>
          <w:tcPr>
            <w:tcW w:w="943" w:type="dxa"/>
            <w:tcBorders>
              <w:top w:val="single" w:sz="4" w:space="0" w:color="auto"/>
              <w:left w:val="single" w:sz="4" w:space="0" w:color="auto"/>
              <w:right w:val="single" w:sz="4" w:space="0" w:color="auto"/>
            </w:tcBorders>
            <w:shd w:val="clear" w:color="auto" w:fill="FFFFFF"/>
            <w:vAlign w:val="center"/>
          </w:tcPr>
          <w:p w:rsidR="00F41D8C" w:rsidRPr="00F27267" w:rsidRDefault="00F41D8C" w:rsidP="000B6385">
            <w:pPr>
              <w:jc w:val="center"/>
              <w:rPr>
                <w:rFonts w:eastAsia="Arial Unicode MS"/>
                <w:sz w:val="22"/>
              </w:rPr>
            </w:pPr>
          </w:p>
        </w:tc>
      </w:tr>
      <w:tr w:rsidR="00F41D8C" w:rsidRPr="00BA3B9D" w:rsidTr="000B6385">
        <w:trPr>
          <w:trHeight w:hRule="exact" w:val="518"/>
        </w:trPr>
        <w:tc>
          <w:tcPr>
            <w:tcW w:w="4690" w:type="dxa"/>
            <w:tcBorders>
              <w:top w:val="single" w:sz="4" w:space="0" w:color="auto"/>
              <w:left w:val="single" w:sz="4" w:space="0" w:color="auto"/>
              <w:bottom w:val="single" w:sz="4" w:space="0" w:color="auto"/>
            </w:tcBorders>
            <w:shd w:val="clear" w:color="auto" w:fill="FFFFFF"/>
            <w:vAlign w:val="bottom"/>
          </w:tcPr>
          <w:p w:rsidR="00F41D8C" w:rsidRPr="00BA3B9D" w:rsidRDefault="00F41D8C" w:rsidP="000B6385">
            <w:pPr>
              <w:widowControl w:val="0"/>
              <w:spacing w:line="250" w:lineRule="exact"/>
              <w:rPr>
                <w:color w:val="000000"/>
                <w:sz w:val="24"/>
                <w:szCs w:val="24"/>
                <w:lang w:bidi="ru-RU"/>
              </w:rPr>
            </w:pPr>
            <w:r w:rsidRPr="00BA3B9D">
              <w:rPr>
                <w:color w:val="000000"/>
                <w:sz w:val="22"/>
                <w:szCs w:val="22"/>
                <w:lang w:bidi="ru-RU"/>
              </w:rPr>
              <w:t>Деятельность в области здравоохранения и социальных услуг</w:t>
            </w:r>
          </w:p>
        </w:tc>
        <w:tc>
          <w:tcPr>
            <w:tcW w:w="990" w:type="dxa"/>
            <w:tcBorders>
              <w:top w:val="single" w:sz="4" w:space="0" w:color="auto"/>
              <w:left w:val="single" w:sz="4" w:space="0" w:color="auto"/>
              <w:bottom w:val="single" w:sz="4" w:space="0" w:color="auto"/>
            </w:tcBorders>
            <w:shd w:val="clear" w:color="auto" w:fill="FFFFFF"/>
            <w:vAlign w:val="center"/>
          </w:tcPr>
          <w:p w:rsidR="00F41D8C" w:rsidRPr="00BA3B9D" w:rsidRDefault="00F41D8C" w:rsidP="000B6385">
            <w:pPr>
              <w:widowControl w:val="0"/>
              <w:spacing w:line="220" w:lineRule="exact"/>
              <w:ind w:left="200"/>
              <w:rPr>
                <w:color w:val="000000"/>
                <w:sz w:val="24"/>
                <w:szCs w:val="24"/>
                <w:lang w:bidi="ru-RU"/>
              </w:rPr>
            </w:pPr>
            <w:r w:rsidRPr="00BA3B9D">
              <w:rPr>
                <w:color w:val="000000"/>
                <w:sz w:val="22"/>
                <w:szCs w:val="22"/>
                <w:lang w:bidi="ru-RU"/>
              </w:rPr>
              <w:t>0,51</w:t>
            </w:r>
          </w:p>
        </w:tc>
        <w:tc>
          <w:tcPr>
            <w:tcW w:w="1134" w:type="dxa"/>
            <w:tcBorders>
              <w:top w:val="single" w:sz="4" w:space="0" w:color="auto"/>
              <w:left w:val="single" w:sz="4" w:space="0" w:color="auto"/>
              <w:bottom w:val="single" w:sz="4" w:space="0" w:color="auto"/>
            </w:tcBorders>
            <w:shd w:val="clear" w:color="auto" w:fill="FFFFFF"/>
          </w:tcPr>
          <w:p w:rsidR="00F41D8C" w:rsidRPr="00BA3B9D" w:rsidRDefault="00F41D8C" w:rsidP="000B6385">
            <w:pPr>
              <w:widowControl w:val="0"/>
              <w:rPr>
                <w:rFonts w:ascii="Arial Unicode MS" w:eastAsia="Arial Unicode MS" w:hAnsi="Arial Unicode MS" w:cs="Arial Unicode MS"/>
                <w:color w:val="000000"/>
                <w:sz w:val="10"/>
                <w:szCs w:val="10"/>
                <w:lang w:bidi="ru-RU"/>
              </w:rPr>
            </w:pPr>
          </w:p>
        </w:tc>
        <w:tc>
          <w:tcPr>
            <w:tcW w:w="1134" w:type="dxa"/>
            <w:tcBorders>
              <w:top w:val="single" w:sz="4" w:space="0" w:color="auto"/>
              <w:left w:val="single" w:sz="4" w:space="0" w:color="auto"/>
              <w:bottom w:val="single" w:sz="4" w:space="0" w:color="auto"/>
            </w:tcBorders>
            <w:shd w:val="clear" w:color="auto" w:fill="FFFFFF"/>
            <w:vAlign w:val="center"/>
          </w:tcPr>
          <w:p w:rsidR="00F41D8C" w:rsidRPr="00BA3B9D" w:rsidRDefault="00F41D8C" w:rsidP="000B6385">
            <w:pPr>
              <w:widowControl w:val="0"/>
              <w:spacing w:line="220" w:lineRule="exact"/>
              <w:ind w:left="300"/>
              <w:rPr>
                <w:color w:val="000000"/>
                <w:sz w:val="24"/>
                <w:szCs w:val="24"/>
                <w:lang w:bidi="ru-RU"/>
              </w:rPr>
            </w:pPr>
            <w:r w:rsidRPr="00BA3B9D">
              <w:rPr>
                <w:color w:val="000000"/>
                <w:sz w:val="22"/>
                <w:szCs w:val="22"/>
                <w:lang w:bidi="ru-RU"/>
              </w:rPr>
              <w:t>1,33</w:t>
            </w:r>
          </w:p>
        </w:tc>
        <w:tc>
          <w:tcPr>
            <w:tcW w:w="993" w:type="dxa"/>
            <w:tcBorders>
              <w:top w:val="single" w:sz="4" w:space="0" w:color="auto"/>
              <w:left w:val="single" w:sz="4" w:space="0" w:color="auto"/>
              <w:bottom w:val="single" w:sz="4" w:space="0" w:color="auto"/>
            </w:tcBorders>
            <w:shd w:val="clear" w:color="auto" w:fill="FFFFFF"/>
            <w:vAlign w:val="center"/>
          </w:tcPr>
          <w:p w:rsidR="00F41D8C" w:rsidRPr="00BA3B9D" w:rsidRDefault="00F41D8C" w:rsidP="000B6385">
            <w:pPr>
              <w:widowControl w:val="0"/>
              <w:spacing w:line="220" w:lineRule="exact"/>
              <w:jc w:val="center"/>
              <w:rPr>
                <w:color w:val="000000"/>
                <w:sz w:val="22"/>
                <w:szCs w:val="22"/>
                <w:lang w:bidi="ru-RU"/>
              </w:rPr>
            </w:pPr>
            <w:r w:rsidRPr="00BA3B9D">
              <w:rPr>
                <w:color w:val="000000"/>
                <w:sz w:val="22"/>
                <w:szCs w:val="22"/>
                <w:lang w:bidi="ru-RU"/>
              </w:rPr>
              <w:t>15,7</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41D8C" w:rsidRPr="00F27267" w:rsidRDefault="00F41D8C" w:rsidP="000B6385">
            <w:pPr>
              <w:jc w:val="center"/>
              <w:rPr>
                <w:rFonts w:eastAsia="Arial Unicode MS"/>
                <w:sz w:val="22"/>
              </w:rPr>
            </w:pPr>
            <w:r w:rsidRPr="00F27267">
              <w:rPr>
                <w:rFonts w:eastAsia="Arial Unicode MS"/>
                <w:sz w:val="22"/>
              </w:rPr>
              <w:t>8,6</w:t>
            </w:r>
          </w:p>
        </w:tc>
      </w:tr>
    </w:tbl>
    <w:p w:rsidR="00F41D8C" w:rsidRDefault="00F41D8C" w:rsidP="00542501">
      <w:pPr>
        <w:ind w:firstLine="708"/>
        <w:jc w:val="both"/>
        <w:rPr>
          <w:rFonts w:eastAsia="Calibri"/>
          <w:sz w:val="24"/>
          <w:szCs w:val="24"/>
          <w:lang w:eastAsia="en-US"/>
        </w:rPr>
      </w:pPr>
    </w:p>
    <w:p w:rsidR="00F41D8C" w:rsidRPr="001C5E99" w:rsidRDefault="00F41D8C" w:rsidP="00F41D8C">
      <w:pPr>
        <w:ind w:firstLine="708"/>
        <w:jc w:val="both"/>
        <w:rPr>
          <w:rFonts w:eastAsia="Calibri"/>
          <w:sz w:val="24"/>
          <w:szCs w:val="24"/>
          <w:lang w:eastAsia="en-US"/>
        </w:rPr>
      </w:pPr>
      <w:r w:rsidRPr="001C5E99">
        <w:rPr>
          <w:rFonts w:eastAsia="Calibri"/>
          <w:sz w:val="24"/>
          <w:szCs w:val="24"/>
          <w:lang w:eastAsia="en-US"/>
        </w:rPr>
        <w:t>В течение ряда лет высокий уровень профессиональной заболеваемости отмечается не только на предприятиях по добыче полезных ископаемых, но и на ОАО РЖД, авиации. В 2022 г. на долю установленных заключительных профессиональных заболеваний работников железнодорожного транспорта приходится 27%, а на долю работников авиации 12,3%, здравоохранения 8,6%.</w:t>
      </w:r>
    </w:p>
    <w:p w:rsidR="00F41D8C" w:rsidRDefault="00F41D8C" w:rsidP="00542501">
      <w:pPr>
        <w:ind w:firstLine="708"/>
        <w:jc w:val="both"/>
        <w:rPr>
          <w:rFonts w:eastAsia="Calibri"/>
          <w:sz w:val="24"/>
          <w:szCs w:val="24"/>
          <w:lang w:eastAsia="en-US"/>
        </w:rPr>
      </w:pPr>
    </w:p>
    <w:p w:rsidR="00E52794" w:rsidRDefault="009F7DA0" w:rsidP="00BA4359">
      <w:pPr>
        <w:ind w:firstLine="360"/>
        <w:jc w:val="both"/>
        <w:rPr>
          <w:rFonts w:eastAsia="Calibri"/>
          <w:sz w:val="24"/>
          <w:szCs w:val="24"/>
          <w:lang w:eastAsia="en-US"/>
        </w:rPr>
      </w:pPr>
      <w:r>
        <w:rPr>
          <w:rFonts w:eastAsia="Calibri"/>
          <w:sz w:val="24"/>
          <w:szCs w:val="24"/>
          <w:lang w:eastAsia="en-US"/>
        </w:rPr>
        <w:t xml:space="preserve">На </w:t>
      </w:r>
      <w:r w:rsidR="001C5E99">
        <w:rPr>
          <w:rFonts w:eastAsia="Calibri"/>
          <w:sz w:val="24"/>
          <w:szCs w:val="24"/>
          <w:lang w:eastAsia="en-US"/>
        </w:rPr>
        <w:t xml:space="preserve">2022 г. на </w:t>
      </w:r>
      <w:r>
        <w:rPr>
          <w:rFonts w:eastAsia="Calibri"/>
          <w:sz w:val="24"/>
          <w:szCs w:val="24"/>
          <w:lang w:eastAsia="en-US"/>
        </w:rPr>
        <w:t xml:space="preserve">учете в центре </w:t>
      </w:r>
      <w:proofErr w:type="spellStart"/>
      <w:r>
        <w:rPr>
          <w:rFonts w:eastAsia="Calibri"/>
          <w:sz w:val="24"/>
          <w:szCs w:val="24"/>
          <w:lang w:eastAsia="en-US"/>
        </w:rPr>
        <w:t>профпатологии</w:t>
      </w:r>
      <w:proofErr w:type="spellEnd"/>
      <w:r>
        <w:rPr>
          <w:rFonts w:eastAsia="Calibri"/>
          <w:sz w:val="24"/>
          <w:szCs w:val="24"/>
          <w:lang w:eastAsia="en-US"/>
        </w:rPr>
        <w:t xml:space="preserve"> Министерства здравоохранения Забайкальского края </w:t>
      </w:r>
      <w:r w:rsidR="00F41D8C">
        <w:rPr>
          <w:rFonts w:eastAsia="Calibri"/>
          <w:sz w:val="24"/>
          <w:szCs w:val="24"/>
          <w:lang w:eastAsia="en-US"/>
        </w:rPr>
        <w:t>наблюдается</w:t>
      </w:r>
      <w:r>
        <w:rPr>
          <w:rFonts w:eastAsia="Calibri"/>
          <w:sz w:val="24"/>
          <w:szCs w:val="24"/>
          <w:lang w:eastAsia="en-US"/>
        </w:rPr>
        <w:t xml:space="preserve"> 2</w:t>
      </w:r>
      <w:r w:rsidR="00F41D8C">
        <w:rPr>
          <w:rFonts w:eastAsia="Calibri"/>
          <w:sz w:val="24"/>
          <w:szCs w:val="24"/>
          <w:lang w:eastAsia="en-US"/>
        </w:rPr>
        <w:t>111</w:t>
      </w:r>
      <w:r>
        <w:rPr>
          <w:rFonts w:eastAsia="Calibri"/>
          <w:sz w:val="24"/>
          <w:szCs w:val="24"/>
          <w:lang w:eastAsia="en-US"/>
        </w:rPr>
        <w:t xml:space="preserve"> пациент</w:t>
      </w:r>
      <w:r w:rsidR="00F41D8C">
        <w:rPr>
          <w:rFonts w:eastAsia="Calibri"/>
          <w:sz w:val="24"/>
          <w:szCs w:val="24"/>
          <w:lang w:eastAsia="en-US"/>
        </w:rPr>
        <w:t>ов (2502 случая профессиональных заболеваний)</w:t>
      </w:r>
    </w:p>
    <w:p w:rsidR="009F7DA0" w:rsidRDefault="009F7DA0" w:rsidP="009F7DA0">
      <w:pPr>
        <w:pStyle w:val="a5"/>
        <w:numPr>
          <w:ilvl w:val="0"/>
          <w:numId w:val="16"/>
        </w:numPr>
        <w:jc w:val="both"/>
        <w:rPr>
          <w:rFonts w:eastAsia="Calibri"/>
          <w:sz w:val="24"/>
          <w:szCs w:val="24"/>
          <w:lang w:eastAsia="en-US"/>
        </w:rPr>
      </w:pPr>
      <w:r>
        <w:rPr>
          <w:rFonts w:eastAsia="Calibri"/>
          <w:sz w:val="24"/>
          <w:szCs w:val="24"/>
          <w:lang w:eastAsia="en-US"/>
        </w:rPr>
        <w:t xml:space="preserve">Профессиональная нейросенсорная тугоухость </w:t>
      </w:r>
      <w:r w:rsidR="00BA4359">
        <w:rPr>
          <w:rFonts w:eastAsia="Calibri"/>
          <w:sz w:val="24"/>
          <w:szCs w:val="24"/>
          <w:lang w:eastAsia="en-US"/>
        </w:rPr>
        <w:t xml:space="preserve">- </w:t>
      </w:r>
      <w:r w:rsidR="001C5E99">
        <w:rPr>
          <w:rFonts w:eastAsia="Calibri"/>
          <w:sz w:val="24"/>
          <w:szCs w:val="24"/>
          <w:lang w:eastAsia="en-US"/>
        </w:rPr>
        <w:t>1250</w:t>
      </w:r>
      <w:r>
        <w:rPr>
          <w:rFonts w:eastAsia="Calibri"/>
          <w:sz w:val="24"/>
          <w:szCs w:val="24"/>
          <w:lang w:eastAsia="en-US"/>
        </w:rPr>
        <w:t xml:space="preserve"> сл</w:t>
      </w:r>
      <w:r w:rsidR="00BA4359">
        <w:rPr>
          <w:rFonts w:eastAsia="Calibri"/>
          <w:sz w:val="24"/>
          <w:szCs w:val="24"/>
          <w:lang w:eastAsia="en-US"/>
        </w:rPr>
        <w:t>.</w:t>
      </w:r>
      <w:r>
        <w:rPr>
          <w:rFonts w:eastAsia="Calibri"/>
          <w:sz w:val="24"/>
          <w:szCs w:val="24"/>
          <w:lang w:eastAsia="en-US"/>
        </w:rPr>
        <w:t xml:space="preserve"> (4</w:t>
      </w:r>
      <w:r w:rsidR="00BA4359">
        <w:rPr>
          <w:rFonts w:eastAsia="Calibri"/>
          <w:sz w:val="24"/>
          <w:szCs w:val="24"/>
          <w:lang w:eastAsia="en-US"/>
        </w:rPr>
        <w:t>9</w:t>
      </w:r>
      <w:r>
        <w:rPr>
          <w:rFonts w:eastAsia="Calibri"/>
          <w:sz w:val="24"/>
          <w:szCs w:val="24"/>
          <w:lang w:eastAsia="en-US"/>
        </w:rPr>
        <w:t>,</w:t>
      </w:r>
      <w:r w:rsidR="001C5E99">
        <w:rPr>
          <w:rFonts w:eastAsia="Calibri"/>
          <w:sz w:val="24"/>
          <w:szCs w:val="24"/>
          <w:lang w:eastAsia="en-US"/>
        </w:rPr>
        <w:t>9</w:t>
      </w:r>
      <w:r>
        <w:rPr>
          <w:rFonts w:eastAsia="Calibri"/>
          <w:sz w:val="24"/>
          <w:szCs w:val="24"/>
          <w:lang w:eastAsia="en-US"/>
        </w:rPr>
        <w:t>%</w:t>
      </w:r>
      <w:r w:rsidRPr="009F7DA0">
        <w:rPr>
          <w:rFonts w:eastAsia="Calibri"/>
          <w:sz w:val="24"/>
          <w:szCs w:val="24"/>
          <w:lang w:eastAsia="en-US"/>
        </w:rPr>
        <w:t>)</w:t>
      </w:r>
    </w:p>
    <w:p w:rsidR="009F7DA0" w:rsidRDefault="009F7DA0" w:rsidP="009F7DA0">
      <w:pPr>
        <w:pStyle w:val="a5"/>
        <w:numPr>
          <w:ilvl w:val="0"/>
          <w:numId w:val="16"/>
        </w:numPr>
        <w:jc w:val="both"/>
        <w:rPr>
          <w:rFonts w:eastAsia="Calibri"/>
          <w:sz w:val="24"/>
          <w:szCs w:val="24"/>
          <w:lang w:eastAsia="en-US"/>
        </w:rPr>
      </w:pPr>
      <w:r>
        <w:rPr>
          <w:rFonts w:eastAsia="Calibri"/>
          <w:sz w:val="24"/>
          <w:szCs w:val="24"/>
          <w:lang w:eastAsia="en-US"/>
        </w:rPr>
        <w:t xml:space="preserve">Вибрационная болезнь от общей и локальной вибрации </w:t>
      </w:r>
      <w:r w:rsidR="00BA4359">
        <w:rPr>
          <w:rFonts w:eastAsia="Calibri"/>
          <w:sz w:val="24"/>
          <w:szCs w:val="24"/>
          <w:lang w:eastAsia="en-US"/>
        </w:rPr>
        <w:t xml:space="preserve">- </w:t>
      </w:r>
      <w:r>
        <w:rPr>
          <w:rFonts w:eastAsia="Calibri"/>
          <w:sz w:val="24"/>
          <w:szCs w:val="24"/>
          <w:lang w:eastAsia="en-US"/>
        </w:rPr>
        <w:t>7</w:t>
      </w:r>
      <w:r w:rsidR="001C5E99">
        <w:rPr>
          <w:rFonts w:eastAsia="Calibri"/>
          <w:sz w:val="24"/>
          <w:szCs w:val="24"/>
          <w:lang w:eastAsia="en-US"/>
        </w:rPr>
        <w:t>8</w:t>
      </w:r>
      <w:r w:rsidR="00BA4359">
        <w:rPr>
          <w:rFonts w:eastAsia="Calibri"/>
          <w:sz w:val="24"/>
          <w:szCs w:val="24"/>
          <w:lang w:eastAsia="en-US"/>
        </w:rPr>
        <w:t>6</w:t>
      </w:r>
      <w:r>
        <w:rPr>
          <w:rFonts w:eastAsia="Calibri"/>
          <w:sz w:val="24"/>
          <w:szCs w:val="24"/>
          <w:lang w:eastAsia="en-US"/>
        </w:rPr>
        <w:t xml:space="preserve"> сл</w:t>
      </w:r>
      <w:r w:rsidR="00BA4359">
        <w:rPr>
          <w:rFonts w:eastAsia="Calibri"/>
          <w:sz w:val="24"/>
          <w:szCs w:val="24"/>
          <w:lang w:eastAsia="en-US"/>
        </w:rPr>
        <w:t>.</w:t>
      </w:r>
      <w:r w:rsidR="0031560B">
        <w:rPr>
          <w:rFonts w:eastAsia="Calibri"/>
          <w:sz w:val="24"/>
          <w:szCs w:val="24"/>
          <w:lang w:eastAsia="en-US"/>
        </w:rPr>
        <w:t xml:space="preserve"> (31</w:t>
      </w:r>
      <w:r>
        <w:rPr>
          <w:rFonts w:eastAsia="Calibri"/>
          <w:sz w:val="24"/>
          <w:szCs w:val="24"/>
          <w:lang w:eastAsia="en-US"/>
        </w:rPr>
        <w:t>,</w:t>
      </w:r>
      <w:r w:rsidR="001C5E99">
        <w:rPr>
          <w:rFonts w:eastAsia="Calibri"/>
          <w:sz w:val="24"/>
          <w:szCs w:val="24"/>
          <w:lang w:eastAsia="en-US"/>
        </w:rPr>
        <w:t>4</w:t>
      </w:r>
      <w:r>
        <w:rPr>
          <w:rFonts w:eastAsia="Calibri"/>
          <w:sz w:val="24"/>
          <w:szCs w:val="24"/>
          <w:lang w:eastAsia="en-US"/>
        </w:rPr>
        <w:t>%)</w:t>
      </w:r>
    </w:p>
    <w:p w:rsidR="009F7DA0" w:rsidRDefault="009F7DA0" w:rsidP="009F7DA0">
      <w:pPr>
        <w:pStyle w:val="a5"/>
        <w:numPr>
          <w:ilvl w:val="0"/>
          <w:numId w:val="16"/>
        </w:numPr>
        <w:jc w:val="both"/>
        <w:rPr>
          <w:rFonts w:eastAsia="Calibri"/>
          <w:sz w:val="24"/>
          <w:szCs w:val="24"/>
          <w:lang w:eastAsia="en-US"/>
        </w:rPr>
      </w:pPr>
      <w:r>
        <w:rPr>
          <w:rFonts w:eastAsia="Calibri"/>
          <w:sz w:val="24"/>
          <w:szCs w:val="24"/>
          <w:lang w:eastAsia="en-US"/>
        </w:rPr>
        <w:t>Профессиональный хронический пылевой бронхит</w:t>
      </w:r>
      <w:r w:rsidR="0031560B">
        <w:rPr>
          <w:rFonts w:eastAsia="Calibri"/>
          <w:sz w:val="24"/>
          <w:szCs w:val="24"/>
          <w:lang w:eastAsia="en-US"/>
        </w:rPr>
        <w:t>– 183</w:t>
      </w:r>
      <w:r>
        <w:rPr>
          <w:rFonts w:eastAsia="Calibri"/>
          <w:sz w:val="24"/>
          <w:szCs w:val="24"/>
          <w:lang w:eastAsia="en-US"/>
        </w:rPr>
        <w:t xml:space="preserve"> сл</w:t>
      </w:r>
      <w:r w:rsidR="0031560B">
        <w:rPr>
          <w:rFonts w:eastAsia="Calibri"/>
          <w:sz w:val="24"/>
          <w:szCs w:val="24"/>
          <w:lang w:eastAsia="en-US"/>
        </w:rPr>
        <w:t>.</w:t>
      </w:r>
      <w:r>
        <w:rPr>
          <w:rFonts w:eastAsia="Calibri"/>
          <w:sz w:val="24"/>
          <w:szCs w:val="24"/>
          <w:lang w:eastAsia="en-US"/>
        </w:rPr>
        <w:t xml:space="preserve"> (7,</w:t>
      </w:r>
      <w:r w:rsidR="0031560B">
        <w:rPr>
          <w:rFonts w:eastAsia="Calibri"/>
          <w:sz w:val="24"/>
          <w:szCs w:val="24"/>
          <w:lang w:eastAsia="en-US"/>
        </w:rPr>
        <w:t>5</w:t>
      </w:r>
      <w:r>
        <w:rPr>
          <w:rFonts w:eastAsia="Calibri"/>
          <w:sz w:val="24"/>
          <w:szCs w:val="24"/>
          <w:lang w:eastAsia="en-US"/>
        </w:rPr>
        <w:t>%)</w:t>
      </w:r>
    </w:p>
    <w:p w:rsidR="009F7DA0" w:rsidRDefault="009F7DA0" w:rsidP="009F7DA0">
      <w:pPr>
        <w:pStyle w:val="a5"/>
        <w:numPr>
          <w:ilvl w:val="0"/>
          <w:numId w:val="16"/>
        </w:numPr>
        <w:jc w:val="both"/>
        <w:rPr>
          <w:rFonts w:eastAsia="Calibri"/>
          <w:sz w:val="24"/>
          <w:szCs w:val="24"/>
          <w:lang w:eastAsia="en-US"/>
        </w:rPr>
      </w:pPr>
      <w:r>
        <w:rPr>
          <w:rFonts w:eastAsia="Calibri"/>
          <w:sz w:val="24"/>
          <w:szCs w:val="24"/>
          <w:lang w:eastAsia="en-US"/>
        </w:rPr>
        <w:t>Профессиональная интоксикация, паразитарные и инфекционные заболевания</w:t>
      </w:r>
      <w:r w:rsidR="0031560B">
        <w:rPr>
          <w:rFonts w:eastAsia="Calibri"/>
          <w:sz w:val="24"/>
          <w:szCs w:val="24"/>
          <w:lang w:eastAsia="en-US"/>
        </w:rPr>
        <w:t xml:space="preserve"> – 98 сл.</w:t>
      </w:r>
      <w:r>
        <w:rPr>
          <w:rFonts w:eastAsia="Calibri"/>
          <w:sz w:val="24"/>
          <w:szCs w:val="24"/>
          <w:lang w:eastAsia="en-US"/>
        </w:rPr>
        <w:t xml:space="preserve"> (4%)</w:t>
      </w:r>
    </w:p>
    <w:p w:rsidR="0088619B" w:rsidRDefault="0088619B" w:rsidP="0088619B">
      <w:pPr>
        <w:pStyle w:val="a5"/>
        <w:numPr>
          <w:ilvl w:val="0"/>
          <w:numId w:val="16"/>
        </w:numPr>
        <w:jc w:val="both"/>
        <w:rPr>
          <w:rFonts w:eastAsia="Calibri"/>
          <w:sz w:val="24"/>
          <w:szCs w:val="24"/>
          <w:lang w:eastAsia="en-US"/>
        </w:rPr>
      </w:pPr>
      <w:proofErr w:type="spellStart"/>
      <w:r>
        <w:rPr>
          <w:rFonts w:eastAsia="Calibri"/>
          <w:sz w:val="24"/>
          <w:szCs w:val="24"/>
          <w:lang w:eastAsia="en-US"/>
        </w:rPr>
        <w:t>Радикулопатии</w:t>
      </w:r>
      <w:proofErr w:type="spellEnd"/>
      <w:r>
        <w:rPr>
          <w:rFonts w:eastAsia="Calibri"/>
          <w:sz w:val="24"/>
          <w:szCs w:val="24"/>
          <w:lang w:eastAsia="en-US"/>
        </w:rPr>
        <w:t xml:space="preserve"> – </w:t>
      </w:r>
      <w:r w:rsidR="001C5E99">
        <w:rPr>
          <w:rFonts w:eastAsia="Calibri"/>
          <w:sz w:val="24"/>
          <w:szCs w:val="24"/>
          <w:lang w:eastAsia="en-US"/>
        </w:rPr>
        <w:t>42</w:t>
      </w:r>
      <w:r>
        <w:rPr>
          <w:rFonts w:eastAsia="Calibri"/>
          <w:sz w:val="24"/>
          <w:szCs w:val="24"/>
          <w:lang w:eastAsia="en-US"/>
        </w:rPr>
        <w:t xml:space="preserve"> сл. (1,6%)</w:t>
      </w:r>
    </w:p>
    <w:p w:rsidR="009F7DA0" w:rsidRDefault="009F7DA0" w:rsidP="009F7DA0">
      <w:pPr>
        <w:pStyle w:val="a5"/>
        <w:numPr>
          <w:ilvl w:val="0"/>
          <w:numId w:val="16"/>
        </w:numPr>
        <w:jc w:val="both"/>
        <w:rPr>
          <w:rFonts w:eastAsia="Calibri"/>
          <w:sz w:val="24"/>
          <w:szCs w:val="24"/>
          <w:lang w:eastAsia="en-US"/>
        </w:rPr>
      </w:pPr>
      <w:r>
        <w:rPr>
          <w:rFonts w:eastAsia="Calibri"/>
          <w:sz w:val="24"/>
          <w:szCs w:val="24"/>
          <w:lang w:eastAsia="en-US"/>
        </w:rPr>
        <w:t xml:space="preserve">Профессиональные заболевание </w:t>
      </w:r>
      <w:proofErr w:type="gramStart"/>
      <w:r>
        <w:rPr>
          <w:rFonts w:eastAsia="Calibri"/>
          <w:sz w:val="24"/>
          <w:szCs w:val="24"/>
          <w:lang w:eastAsia="en-US"/>
        </w:rPr>
        <w:t>периферической</w:t>
      </w:r>
      <w:proofErr w:type="gramEnd"/>
      <w:r>
        <w:rPr>
          <w:rFonts w:eastAsia="Calibri"/>
          <w:sz w:val="24"/>
          <w:szCs w:val="24"/>
          <w:lang w:eastAsia="en-US"/>
        </w:rPr>
        <w:t xml:space="preserve"> нервной системы–</w:t>
      </w:r>
      <w:r w:rsidR="0031560B">
        <w:rPr>
          <w:rFonts w:eastAsia="Calibri"/>
          <w:sz w:val="24"/>
          <w:szCs w:val="24"/>
          <w:lang w:eastAsia="en-US"/>
        </w:rPr>
        <w:t>36</w:t>
      </w:r>
      <w:r>
        <w:rPr>
          <w:rFonts w:eastAsia="Calibri"/>
          <w:sz w:val="24"/>
          <w:szCs w:val="24"/>
          <w:lang w:eastAsia="en-US"/>
        </w:rPr>
        <w:t xml:space="preserve"> сл</w:t>
      </w:r>
      <w:r w:rsidR="0031560B">
        <w:rPr>
          <w:rFonts w:eastAsia="Calibri"/>
          <w:sz w:val="24"/>
          <w:szCs w:val="24"/>
          <w:lang w:eastAsia="en-US"/>
        </w:rPr>
        <w:t>. (1</w:t>
      </w:r>
      <w:r>
        <w:rPr>
          <w:rFonts w:eastAsia="Calibri"/>
          <w:sz w:val="24"/>
          <w:szCs w:val="24"/>
          <w:lang w:eastAsia="en-US"/>
        </w:rPr>
        <w:t>,5%)</w:t>
      </w:r>
    </w:p>
    <w:p w:rsidR="0088619B" w:rsidRDefault="0088619B" w:rsidP="0088619B">
      <w:pPr>
        <w:pStyle w:val="a5"/>
        <w:numPr>
          <w:ilvl w:val="0"/>
          <w:numId w:val="16"/>
        </w:numPr>
        <w:jc w:val="both"/>
        <w:rPr>
          <w:rFonts w:eastAsia="Calibri"/>
          <w:sz w:val="24"/>
          <w:szCs w:val="24"/>
          <w:lang w:eastAsia="en-US"/>
        </w:rPr>
      </w:pPr>
      <w:r>
        <w:rPr>
          <w:rFonts w:eastAsia="Calibri"/>
          <w:sz w:val="24"/>
          <w:szCs w:val="24"/>
          <w:lang w:eastAsia="en-US"/>
        </w:rPr>
        <w:t>Болезни опорно-двигательной системы - 27 случаев (1,1%)</w:t>
      </w:r>
    </w:p>
    <w:p w:rsidR="009F7DA0" w:rsidRDefault="0031560B" w:rsidP="009F7DA0">
      <w:pPr>
        <w:pStyle w:val="a5"/>
        <w:numPr>
          <w:ilvl w:val="0"/>
          <w:numId w:val="16"/>
        </w:numPr>
        <w:jc w:val="both"/>
        <w:rPr>
          <w:rFonts w:eastAsia="Calibri"/>
          <w:sz w:val="24"/>
          <w:szCs w:val="24"/>
          <w:lang w:eastAsia="en-US"/>
        </w:rPr>
      </w:pPr>
      <w:r>
        <w:rPr>
          <w:rFonts w:eastAsia="Calibri"/>
          <w:sz w:val="24"/>
          <w:szCs w:val="24"/>
          <w:lang w:eastAsia="en-US"/>
        </w:rPr>
        <w:t>Б</w:t>
      </w:r>
      <w:r w:rsidR="009F7DA0">
        <w:rPr>
          <w:rFonts w:eastAsia="Calibri"/>
          <w:sz w:val="24"/>
          <w:szCs w:val="24"/>
          <w:lang w:eastAsia="en-US"/>
        </w:rPr>
        <w:t>ронхиальная астма</w:t>
      </w:r>
      <w:r w:rsidR="0088619B">
        <w:rPr>
          <w:rFonts w:eastAsia="Calibri"/>
          <w:sz w:val="24"/>
          <w:szCs w:val="24"/>
          <w:lang w:eastAsia="en-US"/>
        </w:rPr>
        <w:t xml:space="preserve"> </w:t>
      </w:r>
      <w:r w:rsidR="009F7DA0">
        <w:rPr>
          <w:rFonts w:eastAsia="Calibri"/>
          <w:sz w:val="24"/>
          <w:szCs w:val="24"/>
          <w:lang w:eastAsia="en-US"/>
        </w:rPr>
        <w:t>– 14 сл</w:t>
      </w:r>
      <w:r>
        <w:rPr>
          <w:rFonts w:eastAsia="Calibri"/>
          <w:sz w:val="24"/>
          <w:szCs w:val="24"/>
          <w:lang w:eastAsia="en-US"/>
        </w:rPr>
        <w:t xml:space="preserve">. </w:t>
      </w:r>
      <w:r w:rsidR="009F7DA0">
        <w:rPr>
          <w:rFonts w:eastAsia="Calibri"/>
          <w:sz w:val="24"/>
          <w:szCs w:val="24"/>
          <w:lang w:eastAsia="en-US"/>
        </w:rPr>
        <w:t>(0,6%)</w:t>
      </w:r>
    </w:p>
    <w:p w:rsidR="0031560B" w:rsidRDefault="0031560B" w:rsidP="009F7DA0">
      <w:pPr>
        <w:pStyle w:val="a5"/>
        <w:numPr>
          <w:ilvl w:val="0"/>
          <w:numId w:val="16"/>
        </w:numPr>
        <w:jc w:val="both"/>
        <w:rPr>
          <w:rFonts w:eastAsia="Calibri"/>
          <w:sz w:val="24"/>
          <w:szCs w:val="24"/>
          <w:lang w:eastAsia="en-US"/>
        </w:rPr>
      </w:pPr>
      <w:r>
        <w:rPr>
          <w:rFonts w:eastAsia="Calibri"/>
          <w:sz w:val="24"/>
          <w:szCs w:val="24"/>
          <w:lang w:eastAsia="en-US"/>
        </w:rPr>
        <w:t xml:space="preserve">Хроническая обструктивная болезнь легких– </w:t>
      </w:r>
      <w:r w:rsidR="001C5E99">
        <w:rPr>
          <w:rFonts w:eastAsia="Calibri"/>
          <w:sz w:val="24"/>
          <w:szCs w:val="24"/>
          <w:lang w:eastAsia="en-US"/>
        </w:rPr>
        <w:t>8</w:t>
      </w:r>
      <w:r>
        <w:rPr>
          <w:rFonts w:eastAsia="Calibri"/>
          <w:sz w:val="24"/>
          <w:szCs w:val="24"/>
          <w:lang w:eastAsia="en-US"/>
        </w:rPr>
        <w:t xml:space="preserve"> сл. (0,3%)</w:t>
      </w:r>
    </w:p>
    <w:p w:rsidR="009F7DA0" w:rsidRDefault="009F7DA0" w:rsidP="009F7DA0">
      <w:pPr>
        <w:pStyle w:val="a5"/>
        <w:numPr>
          <w:ilvl w:val="0"/>
          <w:numId w:val="16"/>
        </w:numPr>
        <w:jc w:val="both"/>
        <w:rPr>
          <w:rFonts w:eastAsia="Calibri"/>
          <w:sz w:val="24"/>
          <w:szCs w:val="24"/>
          <w:lang w:eastAsia="en-US"/>
        </w:rPr>
      </w:pPr>
      <w:r>
        <w:rPr>
          <w:rFonts w:eastAsia="Calibri"/>
          <w:sz w:val="24"/>
          <w:szCs w:val="24"/>
          <w:lang w:eastAsia="en-US"/>
        </w:rPr>
        <w:t>Экзема - 7 случаев (0,3%)</w:t>
      </w:r>
    </w:p>
    <w:p w:rsidR="009F7DA0" w:rsidRDefault="009F7DA0" w:rsidP="009F7DA0">
      <w:pPr>
        <w:pStyle w:val="a5"/>
        <w:numPr>
          <w:ilvl w:val="0"/>
          <w:numId w:val="16"/>
        </w:numPr>
        <w:jc w:val="both"/>
        <w:rPr>
          <w:rFonts w:eastAsia="Calibri"/>
          <w:sz w:val="24"/>
          <w:szCs w:val="24"/>
          <w:lang w:eastAsia="en-US"/>
        </w:rPr>
      </w:pPr>
      <w:r>
        <w:rPr>
          <w:rFonts w:eastAsia="Calibri"/>
          <w:sz w:val="24"/>
          <w:szCs w:val="24"/>
          <w:lang w:eastAsia="en-US"/>
        </w:rPr>
        <w:t>Катаракта - 7 случаев (0,3%)</w:t>
      </w:r>
    </w:p>
    <w:p w:rsidR="009F7DA0" w:rsidRDefault="009F7DA0" w:rsidP="009F7DA0">
      <w:pPr>
        <w:pStyle w:val="a5"/>
        <w:numPr>
          <w:ilvl w:val="0"/>
          <w:numId w:val="16"/>
        </w:numPr>
        <w:jc w:val="both"/>
        <w:rPr>
          <w:rFonts w:eastAsia="Calibri"/>
          <w:sz w:val="24"/>
          <w:szCs w:val="24"/>
          <w:lang w:eastAsia="en-US"/>
        </w:rPr>
      </w:pPr>
      <w:r>
        <w:rPr>
          <w:rFonts w:eastAsia="Calibri"/>
          <w:sz w:val="24"/>
          <w:szCs w:val="24"/>
          <w:lang w:eastAsia="en-US"/>
        </w:rPr>
        <w:t>Дерматит - 6 случаев (0,</w:t>
      </w:r>
      <w:r w:rsidR="0088619B">
        <w:rPr>
          <w:rFonts w:eastAsia="Calibri"/>
          <w:sz w:val="24"/>
          <w:szCs w:val="24"/>
          <w:lang w:eastAsia="en-US"/>
        </w:rPr>
        <w:t>2</w:t>
      </w:r>
      <w:r>
        <w:rPr>
          <w:rFonts w:eastAsia="Calibri"/>
          <w:sz w:val="24"/>
          <w:szCs w:val="24"/>
          <w:lang w:eastAsia="en-US"/>
        </w:rPr>
        <w:t>%)</w:t>
      </w:r>
    </w:p>
    <w:p w:rsidR="009F7DA0" w:rsidRDefault="001C5E99" w:rsidP="009F7DA0">
      <w:pPr>
        <w:pStyle w:val="a5"/>
        <w:numPr>
          <w:ilvl w:val="0"/>
          <w:numId w:val="16"/>
        </w:numPr>
        <w:jc w:val="both"/>
        <w:rPr>
          <w:rFonts w:eastAsia="Calibri"/>
          <w:sz w:val="24"/>
          <w:szCs w:val="24"/>
          <w:lang w:eastAsia="en-US"/>
        </w:rPr>
      </w:pPr>
      <w:r>
        <w:rPr>
          <w:rFonts w:eastAsia="Calibri"/>
          <w:sz w:val="24"/>
          <w:szCs w:val="24"/>
          <w:lang w:eastAsia="en-US"/>
        </w:rPr>
        <w:t>Рак - 9</w:t>
      </w:r>
      <w:r w:rsidR="009F7DA0">
        <w:rPr>
          <w:rFonts w:eastAsia="Calibri"/>
          <w:sz w:val="24"/>
          <w:szCs w:val="24"/>
          <w:lang w:eastAsia="en-US"/>
        </w:rPr>
        <w:t xml:space="preserve"> сл</w:t>
      </w:r>
      <w:r w:rsidR="0088619B">
        <w:rPr>
          <w:rFonts w:eastAsia="Calibri"/>
          <w:sz w:val="24"/>
          <w:szCs w:val="24"/>
          <w:lang w:eastAsia="en-US"/>
        </w:rPr>
        <w:t>.</w:t>
      </w:r>
      <w:r w:rsidR="009F7DA0">
        <w:rPr>
          <w:rFonts w:eastAsia="Calibri"/>
          <w:sz w:val="24"/>
          <w:szCs w:val="24"/>
          <w:lang w:eastAsia="en-US"/>
        </w:rPr>
        <w:t xml:space="preserve"> (0,3%)</w:t>
      </w:r>
    </w:p>
    <w:p w:rsidR="009F7DA0" w:rsidRDefault="009F7DA0" w:rsidP="009F7DA0">
      <w:pPr>
        <w:pStyle w:val="a5"/>
        <w:numPr>
          <w:ilvl w:val="0"/>
          <w:numId w:val="16"/>
        </w:numPr>
        <w:jc w:val="both"/>
        <w:rPr>
          <w:rFonts w:eastAsia="Calibri"/>
          <w:sz w:val="24"/>
          <w:szCs w:val="24"/>
          <w:lang w:eastAsia="en-US"/>
        </w:rPr>
      </w:pPr>
      <w:r>
        <w:rPr>
          <w:rFonts w:eastAsia="Calibri"/>
          <w:sz w:val="24"/>
          <w:szCs w:val="24"/>
          <w:lang w:eastAsia="en-US"/>
        </w:rPr>
        <w:t xml:space="preserve">Прочие – </w:t>
      </w:r>
      <w:r w:rsidR="001C5E99">
        <w:rPr>
          <w:rFonts w:eastAsia="Calibri"/>
          <w:sz w:val="24"/>
          <w:szCs w:val="24"/>
          <w:lang w:eastAsia="en-US"/>
        </w:rPr>
        <w:t>33</w:t>
      </w:r>
      <w:r>
        <w:rPr>
          <w:rFonts w:eastAsia="Calibri"/>
          <w:sz w:val="24"/>
          <w:szCs w:val="24"/>
          <w:lang w:eastAsia="en-US"/>
        </w:rPr>
        <w:t xml:space="preserve"> сл</w:t>
      </w:r>
      <w:r w:rsidR="0088619B">
        <w:rPr>
          <w:rFonts w:eastAsia="Calibri"/>
          <w:sz w:val="24"/>
          <w:szCs w:val="24"/>
          <w:lang w:eastAsia="en-US"/>
        </w:rPr>
        <w:t>.</w:t>
      </w:r>
      <w:r>
        <w:rPr>
          <w:rFonts w:eastAsia="Calibri"/>
          <w:sz w:val="24"/>
          <w:szCs w:val="24"/>
          <w:lang w:eastAsia="en-US"/>
        </w:rPr>
        <w:t xml:space="preserve"> (0,</w:t>
      </w:r>
      <w:r w:rsidR="0088619B">
        <w:rPr>
          <w:rFonts w:eastAsia="Calibri"/>
          <w:sz w:val="24"/>
          <w:szCs w:val="24"/>
          <w:lang w:eastAsia="en-US"/>
        </w:rPr>
        <w:t>8</w:t>
      </w:r>
      <w:r>
        <w:rPr>
          <w:rFonts w:eastAsia="Calibri"/>
          <w:sz w:val="24"/>
          <w:szCs w:val="24"/>
          <w:lang w:eastAsia="en-US"/>
        </w:rPr>
        <w:t>%)</w:t>
      </w:r>
    </w:p>
    <w:p w:rsidR="001C5E99" w:rsidRDefault="001C5E99" w:rsidP="001C5E99">
      <w:pPr>
        <w:jc w:val="both"/>
        <w:rPr>
          <w:rFonts w:eastAsia="Calibri"/>
          <w:sz w:val="24"/>
          <w:szCs w:val="24"/>
          <w:lang w:eastAsia="en-US"/>
        </w:rPr>
      </w:pPr>
    </w:p>
    <w:p w:rsidR="001C5E99" w:rsidRDefault="001C5E99" w:rsidP="001C5E99">
      <w:pPr>
        <w:jc w:val="both"/>
        <w:rPr>
          <w:rFonts w:eastAsia="Calibri"/>
          <w:sz w:val="24"/>
          <w:szCs w:val="24"/>
          <w:lang w:eastAsia="en-US"/>
        </w:rPr>
      </w:pPr>
      <w:proofErr w:type="gramStart"/>
      <w:r>
        <w:rPr>
          <w:rFonts w:eastAsia="Calibri"/>
          <w:sz w:val="24"/>
          <w:szCs w:val="24"/>
          <w:lang w:val="en-US" w:eastAsia="en-US"/>
        </w:rPr>
        <w:t>I</w:t>
      </w:r>
      <w:r w:rsidRPr="001C5E99">
        <w:rPr>
          <w:rFonts w:eastAsia="Calibri"/>
          <w:sz w:val="24"/>
          <w:szCs w:val="24"/>
          <w:lang w:eastAsia="en-US"/>
        </w:rPr>
        <w:t xml:space="preserve"> </w:t>
      </w:r>
      <w:r>
        <w:rPr>
          <w:rFonts w:eastAsia="Calibri"/>
          <w:sz w:val="24"/>
          <w:szCs w:val="24"/>
          <w:lang w:eastAsia="en-US"/>
        </w:rPr>
        <w:t>место</w:t>
      </w:r>
      <w:r w:rsidRPr="001C5E99">
        <w:rPr>
          <w:rFonts w:eastAsia="Calibri"/>
          <w:sz w:val="24"/>
          <w:szCs w:val="24"/>
          <w:lang w:eastAsia="en-US"/>
        </w:rPr>
        <w:t xml:space="preserve"> </w:t>
      </w:r>
      <w:r>
        <w:rPr>
          <w:rFonts w:eastAsia="Calibri"/>
          <w:sz w:val="24"/>
          <w:szCs w:val="24"/>
          <w:lang w:eastAsia="en-US"/>
        </w:rPr>
        <w:t>Профессиональная нейросенсорная тугоухость1250 сл.</w:t>
      </w:r>
      <w:proofErr w:type="gramEnd"/>
      <w:r>
        <w:rPr>
          <w:rFonts w:eastAsia="Calibri"/>
          <w:sz w:val="24"/>
          <w:szCs w:val="24"/>
          <w:lang w:eastAsia="en-US"/>
        </w:rPr>
        <w:t xml:space="preserve"> (49,9%</w:t>
      </w:r>
      <w:r w:rsidRPr="009F7DA0">
        <w:rPr>
          <w:rFonts w:eastAsia="Calibri"/>
          <w:sz w:val="24"/>
          <w:szCs w:val="24"/>
          <w:lang w:eastAsia="en-US"/>
        </w:rPr>
        <w:t>)</w:t>
      </w:r>
    </w:p>
    <w:p w:rsidR="001C5E99" w:rsidRPr="001C5E99" w:rsidRDefault="001C5E99" w:rsidP="001C5E99">
      <w:pPr>
        <w:jc w:val="both"/>
        <w:rPr>
          <w:rFonts w:eastAsia="Calibri"/>
          <w:sz w:val="24"/>
          <w:szCs w:val="24"/>
          <w:lang w:eastAsia="en-US"/>
        </w:rPr>
      </w:pPr>
      <w:proofErr w:type="gramStart"/>
      <w:r w:rsidRPr="001C5E99">
        <w:rPr>
          <w:rFonts w:eastAsia="Calibri"/>
          <w:sz w:val="24"/>
          <w:szCs w:val="24"/>
          <w:lang w:val="en-US" w:eastAsia="en-US"/>
        </w:rPr>
        <w:t>II</w:t>
      </w:r>
      <w:r w:rsidRPr="001C5E99">
        <w:rPr>
          <w:rFonts w:eastAsia="Calibri"/>
          <w:sz w:val="24"/>
          <w:szCs w:val="24"/>
          <w:lang w:eastAsia="en-US"/>
        </w:rPr>
        <w:t xml:space="preserve"> место Вибрационная болезнь от общей и локальной вибрации - 786 сл.</w:t>
      </w:r>
      <w:proofErr w:type="gramEnd"/>
      <w:r w:rsidRPr="001C5E99">
        <w:rPr>
          <w:rFonts w:eastAsia="Calibri"/>
          <w:sz w:val="24"/>
          <w:szCs w:val="24"/>
          <w:lang w:eastAsia="en-US"/>
        </w:rPr>
        <w:t xml:space="preserve"> (31,4%)</w:t>
      </w:r>
    </w:p>
    <w:p w:rsidR="001C5E99" w:rsidRPr="001C5E99" w:rsidRDefault="001C5E99" w:rsidP="001C5E99">
      <w:pPr>
        <w:jc w:val="both"/>
        <w:rPr>
          <w:rFonts w:eastAsia="Calibri"/>
          <w:sz w:val="24"/>
          <w:szCs w:val="24"/>
          <w:lang w:eastAsia="en-US"/>
        </w:rPr>
      </w:pPr>
      <w:proofErr w:type="gramStart"/>
      <w:r w:rsidRPr="001C5E99">
        <w:rPr>
          <w:rFonts w:eastAsia="Calibri"/>
          <w:sz w:val="24"/>
          <w:szCs w:val="24"/>
          <w:lang w:val="en-US" w:eastAsia="en-US"/>
        </w:rPr>
        <w:t>III</w:t>
      </w:r>
      <w:r w:rsidRPr="001C5E99">
        <w:rPr>
          <w:rFonts w:eastAsia="Calibri"/>
          <w:sz w:val="24"/>
          <w:szCs w:val="24"/>
          <w:lang w:eastAsia="en-US"/>
        </w:rPr>
        <w:t xml:space="preserve"> место Профессиональный хронический пылевой бронхит– 183 сл.</w:t>
      </w:r>
      <w:proofErr w:type="gramEnd"/>
      <w:r w:rsidRPr="001C5E99">
        <w:rPr>
          <w:rFonts w:eastAsia="Calibri"/>
          <w:sz w:val="24"/>
          <w:szCs w:val="24"/>
          <w:lang w:eastAsia="en-US"/>
        </w:rPr>
        <w:t xml:space="preserve"> (7,5%)</w:t>
      </w:r>
    </w:p>
    <w:p w:rsidR="00F41D8C" w:rsidRDefault="00F41D8C" w:rsidP="003F303C">
      <w:pPr>
        <w:jc w:val="both"/>
        <w:rPr>
          <w:rFonts w:eastAsia="Calibri"/>
          <w:b/>
          <w:sz w:val="24"/>
          <w:szCs w:val="24"/>
          <w:lang w:eastAsia="en-US"/>
        </w:rPr>
      </w:pPr>
    </w:p>
    <w:p w:rsidR="003F303C" w:rsidRDefault="003F303C" w:rsidP="003F303C">
      <w:pPr>
        <w:jc w:val="both"/>
        <w:rPr>
          <w:rFonts w:eastAsia="Calibri"/>
          <w:b/>
          <w:sz w:val="24"/>
          <w:szCs w:val="24"/>
          <w:lang w:eastAsia="en-US"/>
        </w:rPr>
      </w:pPr>
      <w:r w:rsidRPr="00CA7009">
        <w:rPr>
          <w:rFonts w:eastAsia="Calibri"/>
          <w:b/>
          <w:sz w:val="24"/>
          <w:szCs w:val="24"/>
          <w:lang w:eastAsia="en-US"/>
        </w:rPr>
        <w:t>ВЫВОДЫ и ПРЕДЛОЖЕНИЯ:</w:t>
      </w:r>
    </w:p>
    <w:p w:rsidR="0088619B" w:rsidRPr="00CA7009" w:rsidRDefault="0088619B" w:rsidP="003F303C">
      <w:pPr>
        <w:jc w:val="both"/>
        <w:rPr>
          <w:rFonts w:eastAsia="Calibri"/>
          <w:b/>
          <w:sz w:val="24"/>
          <w:szCs w:val="24"/>
          <w:lang w:eastAsia="en-US"/>
        </w:rPr>
      </w:pPr>
    </w:p>
    <w:p w:rsidR="003F303C" w:rsidRPr="00CA7009" w:rsidRDefault="003F303C" w:rsidP="003F303C">
      <w:pPr>
        <w:numPr>
          <w:ilvl w:val="0"/>
          <w:numId w:val="4"/>
        </w:numPr>
        <w:spacing w:after="200"/>
        <w:contextualSpacing/>
        <w:jc w:val="both"/>
        <w:rPr>
          <w:rFonts w:eastAsia="Calibri"/>
          <w:sz w:val="24"/>
          <w:szCs w:val="24"/>
          <w:lang w:eastAsia="en-US"/>
        </w:rPr>
      </w:pPr>
      <w:r w:rsidRPr="00CA7009">
        <w:rPr>
          <w:rFonts w:eastAsia="Calibri"/>
          <w:sz w:val="24"/>
          <w:szCs w:val="24"/>
          <w:lang w:eastAsia="en-US"/>
        </w:rPr>
        <w:t xml:space="preserve">Существенных качественных изменений по числу случаев впервые установленных профессиональных заболеваний, их исходов, распределению по видам экономической деятельности, по формам собственности, группам заболеваний от воздействия вредных производственных факторов, по классам условий труда, по профессиональному возрасту и стажу не произошло. </w:t>
      </w:r>
    </w:p>
    <w:p w:rsidR="003F303C" w:rsidRPr="00CA7009" w:rsidRDefault="003F303C" w:rsidP="003F303C">
      <w:pPr>
        <w:numPr>
          <w:ilvl w:val="0"/>
          <w:numId w:val="4"/>
        </w:numPr>
        <w:spacing w:after="200"/>
        <w:contextualSpacing/>
        <w:jc w:val="both"/>
        <w:rPr>
          <w:rFonts w:eastAsia="Calibri"/>
          <w:sz w:val="24"/>
          <w:szCs w:val="24"/>
          <w:lang w:eastAsia="en-US"/>
        </w:rPr>
      </w:pPr>
      <w:r w:rsidRPr="00CA7009">
        <w:rPr>
          <w:rFonts w:eastAsia="Calibri"/>
          <w:sz w:val="24"/>
          <w:szCs w:val="24"/>
          <w:lang w:eastAsia="en-US"/>
        </w:rPr>
        <w:t xml:space="preserve">По-прежнему сохраняется высокий уровень выявления и установления заболеваний, связанных с профессией у работников </w:t>
      </w:r>
      <w:proofErr w:type="gramStart"/>
      <w:r w:rsidRPr="00CA7009">
        <w:rPr>
          <w:rFonts w:eastAsia="Calibri"/>
          <w:sz w:val="24"/>
          <w:szCs w:val="24"/>
          <w:lang w:eastAsia="en-US"/>
        </w:rPr>
        <w:t>горно-рудной</w:t>
      </w:r>
      <w:proofErr w:type="gramEnd"/>
      <w:r w:rsidRPr="00CA7009">
        <w:rPr>
          <w:rFonts w:eastAsia="Calibri"/>
          <w:sz w:val="24"/>
          <w:szCs w:val="24"/>
          <w:lang w:eastAsia="en-US"/>
        </w:rPr>
        <w:t xml:space="preserve"> промышленности (85,4%).</w:t>
      </w:r>
    </w:p>
    <w:p w:rsidR="003F303C" w:rsidRPr="00CA7009" w:rsidRDefault="003F303C" w:rsidP="003F303C">
      <w:pPr>
        <w:numPr>
          <w:ilvl w:val="0"/>
          <w:numId w:val="4"/>
        </w:numPr>
        <w:spacing w:after="200"/>
        <w:contextualSpacing/>
        <w:jc w:val="both"/>
        <w:rPr>
          <w:rFonts w:eastAsia="Calibri"/>
          <w:sz w:val="24"/>
          <w:szCs w:val="24"/>
          <w:lang w:eastAsia="en-US"/>
        </w:rPr>
      </w:pPr>
      <w:r w:rsidRPr="00CA7009">
        <w:rPr>
          <w:rFonts w:eastAsia="Calibri"/>
          <w:sz w:val="24"/>
          <w:szCs w:val="24"/>
          <w:lang w:eastAsia="en-US"/>
        </w:rPr>
        <w:t>В настоящее время сохраняется высокий процент работающих во вредных и опасных условиях труда на предприятиях по добыче полезных ископаемых, обрабатывающих производств, транспорте и связи (5</w:t>
      </w:r>
      <w:r>
        <w:rPr>
          <w:rFonts w:eastAsia="Calibri"/>
          <w:sz w:val="24"/>
          <w:szCs w:val="24"/>
          <w:lang w:eastAsia="en-US"/>
        </w:rPr>
        <w:t>3</w:t>
      </w:r>
      <w:r w:rsidRPr="00CA7009">
        <w:rPr>
          <w:rFonts w:eastAsia="Calibri"/>
          <w:sz w:val="24"/>
          <w:szCs w:val="24"/>
          <w:lang w:eastAsia="en-US"/>
        </w:rPr>
        <w:t>,6%) (в РФ 3</w:t>
      </w:r>
      <w:r>
        <w:rPr>
          <w:rFonts w:eastAsia="Calibri"/>
          <w:sz w:val="24"/>
          <w:szCs w:val="24"/>
          <w:lang w:eastAsia="en-US"/>
        </w:rPr>
        <w:t>9</w:t>
      </w:r>
      <w:r w:rsidRPr="00CA7009">
        <w:rPr>
          <w:rFonts w:eastAsia="Calibri"/>
          <w:sz w:val="24"/>
          <w:szCs w:val="24"/>
          <w:lang w:eastAsia="en-US"/>
        </w:rPr>
        <w:t>,</w:t>
      </w:r>
      <w:r>
        <w:rPr>
          <w:rFonts w:eastAsia="Calibri"/>
          <w:sz w:val="24"/>
          <w:szCs w:val="24"/>
          <w:lang w:eastAsia="en-US"/>
        </w:rPr>
        <w:t>7</w:t>
      </w:r>
      <w:r w:rsidRPr="00CA7009">
        <w:rPr>
          <w:rFonts w:eastAsia="Calibri"/>
          <w:sz w:val="24"/>
          <w:szCs w:val="24"/>
          <w:lang w:eastAsia="en-US"/>
        </w:rPr>
        <w:t>%).</w:t>
      </w:r>
    </w:p>
    <w:p w:rsidR="003F303C" w:rsidRDefault="003F303C" w:rsidP="003F303C">
      <w:pPr>
        <w:numPr>
          <w:ilvl w:val="0"/>
          <w:numId w:val="4"/>
        </w:numPr>
        <w:spacing w:after="200"/>
        <w:contextualSpacing/>
        <w:jc w:val="both"/>
        <w:rPr>
          <w:rFonts w:eastAsia="Calibri"/>
          <w:sz w:val="24"/>
          <w:szCs w:val="24"/>
          <w:lang w:eastAsia="en-US"/>
        </w:rPr>
      </w:pPr>
      <w:r>
        <w:rPr>
          <w:rFonts w:eastAsia="Calibri"/>
          <w:sz w:val="24"/>
          <w:szCs w:val="24"/>
          <w:lang w:eastAsia="en-US"/>
        </w:rPr>
        <w:t xml:space="preserve">Состояние рабочих мест промышленных предприятий по уровню воздействия </w:t>
      </w:r>
      <w:proofErr w:type="gramStart"/>
      <w:r>
        <w:rPr>
          <w:rFonts w:eastAsia="Calibri"/>
          <w:sz w:val="24"/>
          <w:szCs w:val="24"/>
          <w:lang w:eastAsia="en-US"/>
        </w:rPr>
        <w:t>на</w:t>
      </w:r>
      <w:proofErr w:type="gramEnd"/>
      <w:r>
        <w:rPr>
          <w:rFonts w:eastAsia="Calibri"/>
          <w:sz w:val="24"/>
          <w:szCs w:val="24"/>
          <w:lang w:eastAsia="en-US"/>
        </w:rPr>
        <w:t xml:space="preserve"> </w:t>
      </w:r>
      <w:proofErr w:type="gramStart"/>
      <w:r>
        <w:rPr>
          <w:rFonts w:eastAsia="Calibri"/>
          <w:sz w:val="24"/>
          <w:szCs w:val="24"/>
          <w:lang w:eastAsia="en-US"/>
        </w:rPr>
        <w:t>работающих</w:t>
      </w:r>
      <w:proofErr w:type="gramEnd"/>
      <w:r>
        <w:rPr>
          <w:rFonts w:eastAsia="Calibri"/>
          <w:sz w:val="24"/>
          <w:szCs w:val="24"/>
          <w:lang w:eastAsia="en-US"/>
        </w:rPr>
        <w:t xml:space="preserve"> физических факторов трудового процесса (шум, вибрация и т.д.) в течение 202</w:t>
      </w:r>
      <w:r w:rsidR="0088619B">
        <w:rPr>
          <w:rFonts w:eastAsia="Calibri"/>
          <w:sz w:val="24"/>
          <w:szCs w:val="24"/>
          <w:lang w:eastAsia="en-US"/>
        </w:rPr>
        <w:t>1</w:t>
      </w:r>
      <w:r>
        <w:rPr>
          <w:rFonts w:eastAsia="Calibri"/>
          <w:sz w:val="24"/>
          <w:szCs w:val="24"/>
          <w:lang w:eastAsia="en-US"/>
        </w:rPr>
        <w:t xml:space="preserve"> г. не изменились.</w:t>
      </w:r>
    </w:p>
    <w:p w:rsidR="003F303C" w:rsidRDefault="003F303C" w:rsidP="003F303C">
      <w:pPr>
        <w:numPr>
          <w:ilvl w:val="0"/>
          <w:numId w:val="4"/>
        </w:numPr>
        <w:spacing w:after="200"/>
        <w:contextualSpacing/>
        <w:jc w:val="both"/>
        <w:rPr>
          <w:rFonts w:eastAsia="Calibri"/>
          <w:sz w:val="24"/>
          <w:szCs w:val="24"/>
          <w:lang w:eastAsia="en-US"/>
        </w:rPr>
      </w:pPr>
      <w:r>
        <w:rPr>
          <w:rFonts w:eastAsia="Calibri"/>
          <w:sz w:val="24"/>
          <w:szCs w:val="24"/>
          <w:lang w:eastAsia="en-US"/>
        </w:rPr>
        <w:t xml:space="preserve">На промышленных предприятиях Забайкальского края отсутствует динамическое медицинское наблюдение за состоянием работающих во вредных и опасных </w:t>
      </w:r>
      <w:r>
        <w:rPr>
          <w:rFonts w:eastAsia="Calibri"/>
          <w:sz w:val="24"/>
          <w:szCs w:val="24"/>
          <w:lang w:eastAsia="en-US"/>
        </w:rPr>
        <w:lastRenderedPageBreak/>
        <w:t xml:space="preserve">условиях труда. Единственной формой медицинского обеспечения </w:t>
      </w:r>
      <w:proofErr w:type="gramStart"/>
      <w:r>
        <w:rPr>
          <w:rFonts w:eastAsia="Calibri"/>
          <w:sz w:val="24"/>
          <w:szCs w:val="24"/>
          <w:lang w:eastAsia="en-US"/>
        </w:rPr>
        <w:t>работающих</w:t>
      </w:r>
      <w:proofErr w:type="gramEnd"/>
      <w:r>
        <w:rPr>
          <w:rFonts w:eastAsia="Calibri"/>
          <w:sz w:val="24"/>
          <w:szCs w:val="24"/>
          <w:lang w:eastAsia="en-US"/>
        </w:rPr>
        <w:t xml:space="preserve"> является обязательные предварительные и периодические медицинские осмотры. </w:t>
      </w:r>
    </w:p>
    <w:p w:rsidR="003F303C" w:rsidRDefault="003F303C" w:rsidP="003F303C">
      <w:pPr>
        <w:numPr>
          <w:ilvl w:val="0"/>
          <w:numId w:val="4"/>
        </w:numPr>
        <w:spacing w:after="200"/>
        <w:contextualSpacing/>
        <w:jc w:val="both"/>
        <w:rPr>
          <w:rFonts w:eastAsia="Calibri"/>
          <w:sz w:val="24"/>
          <w:szCs w:val="24"/>
          <w:lang w:eastAsia="en-US"/>
        </w:rPr>
      </w:pPr>
      <w:r>
        <w:rPr>
          <w:rFonts w:eastAsia="Calibri"/>
          <w:sz w:val="24"/>
          <w:szCs w:val="24"/>
          <w:lang w:eastAsia="en-US"/>
        </w:rPr>
        <w:t>Внедрение новых, современных технологий в различных отраслях экономики, способствует не только улучшению технологических процессов, но и появлению новых и усугублению имеющихся вредных факторов труда и трудового процесса.</w:t>
      </w:r>
    </w:p>
    <w:p w:rsidR="003F303C" w:rsidRDefault="003F303C" w:rsidP="003F303C">
      <w:pPr>
        <w:numPr>
          <w:ilvl w:val="0"/>
          <w:numId w:val="4"/>
        </w:numPr>
        <w:spacing w:after="200"/>
        <w:contextualSpacing/>
        <w:jc w:val="both"/>
        <w:rPr>
          <w:rFonts w:eastAsia="Calibri"/>
          <w:sz w:val="24"/>
          <w:szCs w:val="24"/>
          <w:lang w:eastAsia="en-US"/>
        </w:rPr>
      </w:pPr>
      <w:r>
        <w:rPr>
          <w:rFonts w:eastAsia="Calibri"/>
          <w:sz w:val="24"/>
          <w:szCs w:val="24"/>
          <w:lang w:eastAsia="en-US"/>
        </w:rPr>
        <w:t xml:space="preserve">Отсутствие правового и экономического механизма, побуждающего работодателя в принятии эффективных мер по обеспечению безопасных условий труда, снижению профессиональных рисков нарушающих здоровье работающих, способствует </w:t>
      </w:r>
      <w:proofErr w:type="gramStart"/>
      <w:r>
        <w:rPr>
          <w:rFonts w:eastAsia="Calibri"/>
          <w:sz w:val="24"/>
          <w:szCs w:val="24"/>
          <w:lang w:eastAsia="en-US"/>
        </w:rPr>
        <w:t>росту хронических соматических заболеваний</w:t>
      </w:r>
      <w:proofErr w:type="gramEnd"/>
      <w:r>
        <w:rPr>
          <w:rFonts w:eastAsia="Calibri"/>
          <w:sz w:val="24"/>
          <w:szCs w:val="24"/>
          <w:lang w:eastAsia="en-US"/>
        </w:rPr>
        <w:t xml:space="preserve">, производственно-обусловленных и профессиональных заболеваний.  </w:t>
      </w:r>
    </w:p>
    <w:p w:rsidR="003F303C" w:rsidRDefault="003F303C" w:rsidP="003F303C">
      <w:pPr>
        <w:numPr>
          <w:ilvl w:val="0"/>
          <w:numId w:val="4"/>
        </w:numPr>
        <w:spacing w:after="200"/>
        <w:contextualSpacing/>
        <w:jc w:val="both"/>
        <w:rPr>
          <w:rFonts w:eastAsia="Calibri"/>
          <w:sz w:val="24"/>
          <w:szCs w:val="24"/>
          <w:lang w:eastAsia="en-US"/>
        </w:rPr>
      </w:pPr>
      <w:r>
        <w:rPr>
          <w:rFonts w:eastAsia="Calibri"/>
          <w:sz w:val="24"/>
          <w:szCs w:val="24"/>
          <w:lang w:eastAsia="en-US"/>
        </w:rPr>
        <w:t xml:space="preserve">Современное законодательство дает право работнику обращаться  в медицинские организации тогда, когда он посчитает необходимым, чаще всего это связано с выходом на пенсию, увольнением, сокращением. В </w:t>
      </w:r>
      <w:proofErr w:type="gramStart"/>
      <w:r>
        <w:rPr>
          <w:rFonts w:eastAsia="Calibri"/>
          <w:sz w:val="24"/>
          <w:szCs w:val="24"/>
          <w:lang w:eastAsia="en-US"/>
        </w:rPr>
        <w:t>связи</w:t>
      </w:r>
      <w:proofErr w:type="gramEnd"/>
      <w:r>
        <w:rPr>
          <w:rFonts w:eastAsia="Calibri"/>
          <w:sz w:val="24"/>
          <w:szCs w:val="24"/>
          <w:lang w:eastAsia="en-US"/>
        </w:rPr>
        <w:t xml:space="preserve"> с чем превалирует самообращение работника в медицинскую организацию для оформления профессионального заболевания. </w:t>
      </w:r>
    </w:p>
    <w:p w:rsidR="003F303C" w:rsidRDefault="003F303C" w:rsidP="003F303C">
      <w:pPr>
        <w:numPr>
          <w:ilvl w:val="0"/>
          <w:numId w:val="4"/>
        </w:numPr>
        <w:spacing w:after="200"/>
        <w:contextualSpacing/>
        <w:jc w:val="both"/>
        <w:rPr>
          <w:rFonts w:eastAsia="Calibri"/>
          <w:sz w:val="24"/>
          <w:szCs w:val="24"/>
          <w:lang w:eastAsia="en-US"/>
        </w:rPr>
      </w:pPr>
      <w:r>
        <w:rPr>
          <w:rFonts w:eastAsia="Calibri"/>
          <w:sz w:val="24"/>
          <w:szCs w:val="24"/>
          <w:lang w:eastAsia="en-US"/>
        </w:rPr>
        <w:t xml:space="preserve">С целью улучшения организации и повышения качества проведения обязательных предварительных и периодических медицинских осмотров </w:t>
      </w:r>
      <w:proofErr w:type="gramStart"/>
      <w:r>
        <w:rPr>
          <w:rFonts w:eastAsia="Calibri"/>
          <w:sz w:val="24"/>
          <w:szCs w:val="24"/>
          <w:lang w:eastAsia="en-US"/>
        </w:rPr>
        <w:t>работающим</w:t>
      </w:r>
      <w:proofErr w:type="gramEnd"/>
      <w:r>
        <w:rPr>
          <w:rFonts w:eastAsia="Calibri"/>
          <w:sz w:val="24"/>
          <w:szCs w:val="24"/>
          <w:lang w:eastAsia="en-US"/>
        </w:rPr>
        <w:t xml:space="preserve"> во вредных и опасных условиях труда назрела необходимость внедрения в практику автоматизированных систем комплекса медицинского осмотра работающих (КАСМОН).</w:t>
      </w:r>
    </w:p>
    <w:p w:rsidR="003F303C" w:rsidRDefault="003F303C" w:rsidP="003F303C">
      <w:pPr>
        <w:numPr>
          <w:ilvl w:val="0"/>
          <w:numId w:val="4"/>
        </w:numPr>
        <w:spacing w:after="200"/>
        <w:contextualSpacing/>
        <w:jc w:val="both"/>
        <w:rPr>
          <w:rFonts w:eastAsia="Calibri"/>
          <w:sz w:val="24"/>
          <w:szCs w:val="24"/>
          <w:lang w:eastAsia="en-US"/>
        </w:rPr>
      </w:pPr>
      <w:r>
        <w:rPr>
          <w:rFonts w:eastAsia="Calibri"/>
          <w:sz w:val="24"/>
          <w:szCs w:val="24"/>
          <w:lang w:eastAsia="en-US"/>
        </w:rPr>
        <w:t xml:space="preserve">С целью определения </w:t>
      </w:r>
      <w:proofErr w:type="gramStart"/>
      <w:r>
        <w:rPr>
          <w:rFonts w:eastAsia="Calibri"/>
          <w:sz w:val="24"/>
          <w:szCs w:val="24"/>
          <w:lang w:eastAsia="en-US"/>
        </w:rPr>
        <w:t>воздействия</w:t>
      </w:r>
      <w:proofErr w:type="gramEnd"/>
      <w:r>
        <w:rPr>
          <w:rFonts w:eastAsia="Calibri"/>
          <w:sz w:val="24"/>
          <w:szCs w:val="24"/>
          <w:lang w:eastAsia="en-US"/>
        </w:rPr>
        <w:t xml:space="preserve">  на организм работающего вредных факторов труда и трудового процесса на период окончания работы в контакте с вредными факторами труда, работающим необходимо провести комплексное медицинское обследование в условиях профцентра. </w:t>
      </w:r>
    </w:p>
    <w:p w:rsidR="003F303C" w:rsidRDefault="003F303C" w:rsidP="003F303C">
      <w:pPr>
        <w:numPr>
          <w:ilvl w:val="0"/>
          <w:numId w:val="4"/>
        </w:numPr>
        <w:spacing w:after="200"/>
        <w:contextualSpacing/>
        <w:jc w:val="both"/>
        <w:rPr>
          <w:rFonts w:eastAsia="Calibri"/>
          <w:sz w:val="24"/>
          <w:szCs w:val="24"/>
          <w:lang w:eastAsia="en-US"/>
        </w:rPr>
      </w:pPr>
      <w:r>
        <w:rPr>
          <w:rFonts w:eastAsia="Calibri"/>
          <w:sz w:val="24"/>
          <w:szCs w:val="24"/>
          <w:lang w:eastAsia="en-US"/>
        </w:rPr>
        <w:t xml:space="preserve">С целью </w:t>
      </w:r>
      <w:proofErr w:type="gramStart"/>
      <w:r>
        <w:rPr>
          <w:rFonts w:eastAsia="Calibri"/>
          <w:sz w:val="24"/>
          <w:szCs w:val="24"/>
          <w:lang w:eastAsia="en-US"/>
        </w:rPr>
        <w:t>контроля за</w:t>
      </w:r>
      <w:proofErr w:type="gramEnd"/>
      <w:r>
        <w:rPr>
          <w:rFonts w:eastAsia="Calibri"/>
          <w:sz w:val="24"/>
          <w:szCs w:val="24"/>
          <w:lang w:eastAsia="en-US"/>
        </w:rPr>
        <w:t xml:space="preserve"> состоянием здоровья в </w:t>
      </w:r>
      <w:proofErr w:type="spellStart"/>
      <w:r>
        <w:rPr>
          <w:rFonts w:eastAsia="Calibri"/>
          <w:sz w:val="24"/>
          <w:szCs w:val="24"/>
          <w:lang w:eastAsia="en-US"/>
        </w:rPr>
        <w:t>постконтактном</w:t>
      </w:r>
      <w:proofErr w:type="spellEnd"/>
      <w:r>
        <w:rPr>
          <w:rFonts w:eastAsia="Calibri"/>
          <w:sz w:val="24"/>
          <w:szCs w:val="24"/>
          <w:lang w:eastAsia="en-US"/>
        </w:rPr>
        <w:t xml:space="preserve"> периоде работающего в канцерогенном производстве необходимо осуществлять постоянный мониторинг на предмет своевременной диагностики профессионального рака</w:t>
      </w:r>
      <w:r w:rsidR="001C5E99">
        <w:rPr>
          <w:rFonts w:eastAsia="Calibri"/>
          <w:sz w:val="24"/>
          <w:szCs w:val="24"/>
          <w:lang w:eastAsia="en-US"/>
        </w:rPr>
        <w:t xml:space="preserve">, проведение санитарно-гигиенической паспортизации предприятий на канцерогенную опасность. </w:t>
      </w:r>
      <w:r>
        <w:rPr>
          <w:rFonts w:eastAsia="Calibri"/>
          <w:sz w:val="24"/>
          <w:szCs w:val="24"/>
          <w:lang w:eastAsia="en-US"/>
        </w:rPr>
        <w:t xml:space="preserve"> </w:t>
      </w:r>
    </w:p>
    <w:bookmarkEnd w:id="0"/>
    <w:p w:rsidR="003F303C" w:rsidRPr="00CA7009" w:rsidRDefault="003F303C" w:rsidP="00A4205D">
      <w:pPr>
        <w:tabs>
          <w:tab w:val="left" w:pos="1386"/>
        </w:tabs>
        <w:jc w:val="both"/>
        <w:rPr>
          <w:rFonts w:eastAsia="Calibri"/>
          <w:sz w:val="24"/>
          <w:szCs w:val="24"/>
          <w:lang w:eastAsia="en-US"/>
        </w:rPr>
      </w:pPr>
    </w:p>
    <w:sectPr w:rsidR="003F303C" w:rsidRPr="00CA7009" w:rsidSect="00C529A1">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2B" w:rsidRDefault="00696C2B" w:rsidP="004E32A9">
      <w:r>
        <w:separator/>
      </w:r>
    </w:p>
  </w:endnote>
  <w:endnote w:type="continuationSeparator" w:id="0">
    <w:p w:rsidR="00696C2B" w:rsidRDefault="00696C2B" w:rsidP="004E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2B" w:rsidRDefault="00696C2B" w:rsidP="004E32A9">
      <w:r>
        <w:separator/>
      </w:r>
    </w:p>
  </w:footnote>
  <w:footnote w:type="continuationSeparator" w:id="0">
    <w:p w:rsidR="00696C2B" w:rsidRDefault="00696C2B" w:rsidP="004E3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B28"/>
    <w:multiLevelType w:val="hybridMultilevel"/>
    <w:tmpl w:val="13A61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36C8A"/>
    <w:multiLevelType w:val="hybridMultilevel"/>
    <w:tmpl w:val="13A61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F2463"/>
    <w:multiLevelType w:val="hybridMultilevel"/>
    <w:tmpl w:val="32541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F6C69"/>
    <w:multiLevelType w:val="hybridMultilevel"/>
    <w:tmpl w:val="AE3CD8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B0279C"/>
    <w:multiLevelType w:val="hybridMultilevel"/>
    <w:tmpl w:val="6AD25926"/>
    <w:lvl w:ilvl="0" w:tplc="804C6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DA2A43"/>
    <w:multiLevelType w:val="hybridMultilevel"/>
    <w:tmpl w:val="2972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31451"/>
    <w:multiLevelType w:val="hybridMultilevel"/>
    <w:tmpl w:val="3FC01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7356D"/>
    <w:multiLevelType w:val="hybridMultilevel"/>
    <w:tmpl w:val="13A61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64670"/>
    <w:multiLevelType w:val="hybridMultilevel"/>
    <w:tmpl w:val="0B1817DC"/>
    <w:lvl w:ilvl="0" w:tplc="804C6DB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1E76159"/>
    <w:multiLevelType w:val="hybridMultilevel"/>
    <w:tmpl w:val="91B4299C"/>
    <w:lvl w:ilvl="0" w:tplc="1FD0B47C">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6D73E2C"/>
    <w:multiLevelType w:val="hybridMultilevel"/>
    <w:tmpl w:val="91B4299C"/>
    <w:lvl w:ilvl="0" w:tplc="1FD0B47C">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8295A00"/>
    <w:multiLevelType w:val="hybridMultilevel"/>
    <w:tmpl w:val="0868EFAC"/>
    <w:lvl w:ilvl="0" w:tplc="804C6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87105A"/>
    <w:multiLevelType w:val="hybridMultilevel"/>
    <w:tmpl w:val="04569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6D575A"/>
    <w:multiLevelType w:val="hybridMultilevel"/>
    <w:tmpl w:val="CC742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564AA"/>
    <w:multiLevelType w:val="hybridMultilevel"/>
    <w:tmpl w:val="13A61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A47D52"/>
    <w:multiLevelType w:val="hybridMultilevel"/>
    <w:tmpl w:val="3348DFD0"/>
    <w:lvl w:ilvl="0" w:tplc="804C6D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544175"/>
    <w:multiLevelType w:val="hybridMultilevel"/>
    <w:tmpl w:val="5BCADCF4"/>
    <w:lvl w:ilvl="0" w:tplc="804C6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6D72DA"/>
    <w:multiLevelType w:val="hybridMultilevel"/>
    <w:tmpl w:val="AE3CD8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667AA0"/>
    <w:multiLevelType w:val="hybridMultilevel"/>
    <w:tmpl w:val="13A61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2F6179"/>
    <w:multiLevelType w:val="hybridMultilevel"/>
    <w:tmpl w:val="4DA2C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3"/>
  </w:num>
  <w:num w:numId="5">
    <w:abstractNumId w:val="16"/>
  </w:num>
  <w:num w:numId="6">
    <w:abstractNumId w:val="17"/>
  </w:num>
  <w:num w:numId="7">
    <w:abstractNumId w:val="3"/>
  </w:num>
  <w:num w:numId="8">
    <w:abstractNumId w:val="6"/>
  </w:num>
  <w:num w:numId="9">
    <w:abstractNumId w:val="10"/>
  </w:num>
  <w:num w:numId="10">
    <w:abstractNumId w:val="9"/>
  </w:num>
  <w:num w:numId="11">
    <w:abstractNumId w:val="19"/>
  </w:num>
  <w:num w:numId="12">
    <w:abstractNumId w:val="12"/>
  </w:num>
  <w:num w:numId="13">
    <w:abstractNumId w:val="2"/>
  </w:num>
  <w:num w:numId="14">
    <w:abstractNumId w:val="5"/>
  </w:num>
  <w:num w:numId="15">
    <w:abstractNumId w:val="8"/>
  </w:num>
  <w:num w:numId="16">
    <w:abstractNumId w:val="14"/>
  </w:num>
  <w:num w:numId="17">
    <w:abstractNumId w:val="7"/>
  </w:num>
  <w:num w:numId="18">
    <w:abstractNumId w:val="18"/>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94"/>
    <w:rsid w:val="000114D8"/>
    <w:rsid w:val="000C2992"/>
    <w:rsid w:val="0014626B"/>
    <w:rsid w:val="00160356"/>
    <w:rsid w:val="00167680"/>
    <w:rsid w:val="00194960"/>
    <w:rsid w:val="001C5E99"/>
    <w:rsid w:val="002E69EA"/>
    <w:rsid w:val="00305EA5"/>
    <w:rsid w:val="0031560B"/>
    <w:rsid w:val="00386BFD"/>
    <w:rsid w:val="003F303C"/>
    <w:rsid w:val="004150DB"/>
    <w:rsid w:val="00452F00"/>
    <w:rsid w:val="004A61E3"/>
    <w:rsid w:val="004C47A1"/>
    <w:rsid w:val="004D50D8"/>
    <w:rsid w:val="004E195E"/>
    <w:rsid w:val="004E32A9"/>
    <w:rsid w:val="004E7147"/>
    <w:rsid w:val="00521A52"/>
    <w:rsid w:val="00542501"/>
    <w:rsid w:val="00571C15"/>
    <w:rsid w:val="005B2C12"/>
    <w:rsid w:val="005E22CB"/>
    <w:rsid w:val="005E39FB"/>
    <w:rsid w:val="006207F9"/>
    <w:rsid w:val="0063522E"/>
    <w:rsid w:val="006371F0"/>
    <w:rsid w:val="00645DDA"/>
    <w:rsid w:val="00656450"/>
    <w:rsid w:val="0067059C"/>
    <w:rsid w:val="00696C2B"/>
    <w:rsid w:val="006C22F6"/>
    <w:rsid w:val="006F55B8"/>
    <w:rsid w:val="00732272"/>
    <w:rsid w:val="007373FE"/>
    <w:rsid w:val="00742A10"/>
    <w:rsid w:val="007575D6"/>
    <w:rsid w:val="0077148C"/>
    <w:rsid w:val="007A136A"/>
    <w:rsid w:val="007C0678"/>
    <w:rsid w:val="007E3703"/>
    <w:rsid w:val="007F2DFE"/>
    <w:rsid w:val="008445BD"/>
    <w:rsid w:val="0088619B"/>
    <w:rsid w:val="008877A3"/>
    <w:rsid w:val="008B1424"/>
    <w:rsid w:val="008D0E42"/>
    <w:rsid w:val="0092079A"/>
    <w:rsid w:val="00922618"/>
    <w:rsid w:val="00931E29"/>
    <w:rsid w:val="00933BF5"/>
    <w:rsid w:val="00936794"/>
    <w:rsid w:val="00941D3E"/>
    <w:rsid w:val="00956040"/>
    <w:rsid w:val="00980AD3"/>
    <w:rsid w:val="00992C8B"/>
    <w:rsid w:val="009B720A"/>
    <w:rsid w:val="009D41CE"/>
    <w:rsid w:val="009F7DA0"/>
    <w:rsid w:val="00A23595"/>
    <w:rsid w:val="00A4205D"/>
    <w:rsid w:val="00A56118"/>
    <w:rsid w:val="00B0475F"/>
    <w:rsid w:val="00B10193"/>
    <w:rsid w:val="00B65682"/>
    <w:rsid w:val="00BA3B9D"/>
    <w:rsid w:val="00BA4359"/>
    <w:rsid w:val="00BF064E"/>
    <w:rsid w:val="00C15E61"/>
    <w:rsid w:val="00C529A1"/>
    <w:rsid w:val="00CA192F"/>
    <w:rsid w:val="00CC099B"/>
    <w:rsid w:val="00CF6841"/>
    <w:rsid w:val="00D6667C"/>
    <w:rsid w:val="00E14A29"/>
    <w:rsid w:val="00E21071"/>
    <w:rsid w:val="00E265B3"/>
    <w:rsid w:val="00E52794"/>
    <w:rsid w:val="00F27267"/>
    <w:rsid w:val="00F4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356"/>
    <w:rPr>
      <w:rFonts w:ascii="Tahoma" w:hAnsi="Tahoma" w:cs="Tahoma"/>
      <w:sz w:val="16"/>
      <w:szCs w:val="16"/>
    </w:rPr>
  </w:style>
  <w:style w:type="character" w:customStyle="1" w:styleId="a4">
    <w:name w:val="Текст выноски Знак"/>
    <w:basedOn w:val="a0"/>
    <w:link w:val="a3"/>
    <w:uiPriority w:val="99"/>
    <w:semiHidden/>
    <w:rsid w:val="00160356"/>
    <w:rPr>
      <w:rFonts w:ascii="Tahoma" w:eastAsia="Times New Roman" w:hAnsi="Tahoma" w:cs="Tahoma"/>
      <w:sz w:val="16"/>
      <w:szCs w:val="16"/>
      <w:lang w:eastAsia="ru-RU"/>
    </w:rPr>
  </w:style>
  <w:style w:type="paragraph" w:styleId="a5">
    <w:name w:val="List Paragraph"/>
    <w:basedOn w:val="a"/>
    <w:uiPriority w:val="34"/>
    <w:qFormat/>
    <w:rsid w:val="000114D8"/>
    <w:pPr>
      <w:ind w:left="720"/>
      <w:contextualSpacing/>
    </w:pPr>
  </w:style>
  <w:style w:type="paragraph" w:styleId="a6">
    <w:name w:val="header"/>
    <w:basedOn w:val="a"/>
    <w:link w:val="a7"/>
    <w:uiPriority w:val="99"/>
    <w:unhideWhenUsed/>
    <w:rsid w:val="004E32A9"/>
    <w:pPr>
      <w:tabs>
        <w:tab w:val="center" w:pos="4677"/>
        <w:tab w:val="right" w:pos="9355"/>
      </w:tabs>
    </w:pPr>
  </w:style>
  <w:style w:type="character" w:customStyle="1" w:styleId="a7">
    <w:name w:val="Верхний колонтитул Знак"/>
    <w:basedOn w:val="a0"/>
    <w:link w:val="a6"/>
    <w:uiPriority w:val="99"/>
    <w:rsid w:val="004E32A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E32A9"/>
    <w:pPr>
      <w:tabs>
        <w:tab w:val="center" w:pos="4677"/>
        <w:tab w:val="right" w:pos="9355"/>
      </w:tabs>
    </w:pPr>
  </w:style>
  <w:style w:type="character" w:customStyle="1" w:styleId="a9">
    <w:name w:val="Нижний колонтитул Знак"/>
    <w:basedOn w:val="a0"/>
    <w:link w:val="a8"/>
    <w:uiPriority w:val="99"/>
    <w:rsid w:val="004E32A9"/>
    <w:rPr>
      <w:rFonts w:ascii="Times New Roman" w:eastAsia="Times New Roman" w:hAnsi="Times New Roman" w:cs="Times New Roman"/>
      <w:sz w:val="20"/>
      <w:szCs w:val="20"/>
      <w:lang w:eastAsia="ru-RU"/>
    </w:rPr>
  </w:style>
  <w:style w:type="table" w:styleId="aa">
    <w:name w:val="Table Grid"/>
    <w:basedOn w:val="a1"/>
    <w:uiPriority w:val="59"/>
    <w:rsid w:val="00992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356"/>
    <w:rPr>
      <w:rFonts w:ascii="Tahoma" w:hAnsi="Tahoma" w:cs="Tahoma"/>
      <w:sz w:val="16"/>
      <w:szCs w:val="16"/>
    </w:rPr>
  </w:style>
  <w:style w:type="character" w:customStyle="1" w:styleId="a4">
    <w:name w:val="Текст выноски Знак"/>
    <w:basedOn w:val="a0"/>
    <w:link w:val="a3"/>
    <w:uiPriority w:val="99"/>
    <w:semiHidden/>
    <w:rsid w:val="00160356"/>
    <w:rPr>
      <w:rFonts w:ascii="Tahoma" w:eastAsia="Times New Roman" w:hAnsi="Tahoma" w:cs="Tahoma"/>
      <w:sz w:val="16"/>
      <w:szCs w:val="16"/>
      <w:lang w:eastAsia="ru-RU"/>
    </w:rPr>
  </w:style>
  <w:style w:type="paragraph" w:styleId="a5">
    <w:name w:val="List Paragraph"/>
    <w:basedOn w:val="a"/>
    <w:uiPriority w:val="34"/>
    <w:qFormat/>
    <w:rsid w:val="000114D8"/>
    <w:pPr>
      <w:ind w:left="720"/>
      <w:contextualSpacing/>
    </w:pPr>
  </w:style>
  <w:style w:type="paragraph" w:styleId="a6">
    <w:name w:val="header"/>
    <w:basedOn w:val="a"/>
    <w:link w:val="a7"/>
    <w:uiPriority w:val="99"/>
    <w:unhideWhenUsed/>
    <w:rsid w:val="004E32A9"/>
    <w:pPr>
      <w:tabs>
        <w:tab w:val="center" w:pos="4677"/>
        <w:tab w:val="right" w:pos="9355"/>
      </w:tabs>
    </w:pPr>
  </w:style>
  <w:style w:type="character" w:customStyle="1" w:styleId="a7">
    <w:name w:val="Верхний колонтитул Знак"/>
    <w:basedOn w:val="a0"/>
    <w:link w:val="a6"/>
    <w:uiPriority w:val="99"/>
    <w:rsid w:val="004E32A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E32A9"/>
    <w:pPr>
      <w:tabs>
        <w:tab w:val="center" w:pos="4677"/>
        <w:tab w:val="right" w:pos="9355"/>
      </w:tabs>
    </w:pPr>
  </w:style>
  <w:style w:type="character" w:customStyle="1" w:styleId="a9">
    <w:name w:val="Нижний колонтитул Знак"/>
    <w:basedOn w:val="a0"/>
    <w:link w:val="a8"/>
    <w:uiPriority w:val="99"/>
    <w:rsid w:val="004E32A9"/>
    <w:rPr>
      <w:rFonts w:ascii="Times New Roman" w:eastAsia="Times New Roman" w:hAnsi="Times New Roman" w:cs="Times New Roman"/>
      <w:sz w:val="20"/>
      <w:szCs w:val="20"/>
      <w:lang w:eastAsia="ru-RU"/>
    </w:rPr>
  </w:style>
  <w:style w:type="table" w:styleId="aa">
    <w:name w:val="Table Grid"/>
    <w:basedOn w:val="a1"/>
    <w:uiPriority w:val="59"/>
    <w:rsid w:val="00992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3</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30</cp:revision>
  <cp:lastPrinted>2023-01-13T06:05:00Z</cp:lastPrinted>
  <dcterms:created xsi:type="dcterms:W3CDTF">2018-05-10T02:14:00Z</dcterms:created>
  <dcterms:modified xsi:type="dcterms:W3CDTF">2023-01-25T02:03:00Z</dcterms:modified>
</cp:coreProperties>
</file>