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131" w:rsidRPr="008B3131" w:rsidRDefault="008B3131" w:rsidP="008B3131">
      <w:pPr>
        <w:pBdr>
          <w:bottom w:val="single" w:sz="6" w:space="8" w:color="027EF2"/>
        </w:pBdr>
        <w:shd w:val="clear" w:color="auto" w:fill="FFFFFF"/>
        <w:spacing w:after="150" w:line="570" w:lineRule="atLeast"/>
        <w:jc w:val="center"/>
        <w:outlineLvl w:val="0"/>
        <w:rPr>
          <w:rFonts w:ascii="Arial" w:eastAsia="Times New Roman" w:hAnsi="Arial" w:cs="Arial"/>
          <w:color w:val="008888"/>
          <w:kern w:val="36"/>
          <w:sz w:val="45"/>
          <w:szCs w:val="45"/>
          <w:lang w:eastAsia="ru-RU"/>
        </w:rPr>
      </w:pPr>
      <w:r w:rsidRPr="008B3131">
        <w:rPr>
          <w:rFonts w:ascii="Arial" w:eastAsia="Times New Roman" w:hAnsi="Arial" w:cs="Arial"/>
          <w:color w:val="008888"/>
          <w:kern w:val="36"/>
          <w:sz w:val="45"/>
          <w:szCs w:val="45"/>
          <w:lang w:eastAsia="ru-RU"/>
        </w:rPr>
        <w:t>Противодействие коррупции</w:t>
      </w:r>
    </w:p>
    <w:p w:rsidR="008B3131" w:rsidRPr="008B3131" w:rsidRDefault="008B3131" w:rsidP="008B3131">
      <w:pPr>
        <w:shd w:val="clear" w:color="auto" w:fill="FFFFFF"/>
        <w:spacing w:after="225" w:line="240" w:lineRule="auto"/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</w:pPr>
      <w:r w:rsidRPr="008B3131"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  <w:t>Телефон доверия по вопросам противодействия коррупции </w:t>
      </w:r>
      <w:r w:rsidRPr="008B3131">
        <w:rPr>
          <w:rFonts w:ascii="Open Sans" w:eastAsia="Times New Roman" w:hAnsi="Open Sans" w:cs="Times New Roman"/>
          <w:b/>
          <w:bCs/>
          <w:color w:val="222222"/>
          <w:sz w:val="24"/>
          <w:szCs w:val="24"/>
          <w:lang w:eastAsia="ru-RU"/>
        </w:rPr>
        <w:t>8 (30244) 2-64-01</w:t>
      </w:r>
    </w:p>
    <w:p w:rsidR="008B3131" w:rsidRPr="008B3131" w:rsidRDefault="008B3131" w:rsidP="008B3131">
      <w:pPr>
        <w:shd w:val="clear" w:color="auto" w:fill="FFFFFF"/>
        <w:spacing w:before="225" w:after="225" w:line="240" w:lineRule="auto"/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</w:pPr>
      <w:r w:rsidRPr="008B3131"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  <w:t xml:space="preserve">Режим работы: с 8:00 до 17:00, выходной – </w:t>
      </w:r>
      <w:proofErr w:type="spellStart"/>
      <w:proofErr w:type="gramStart"/>
      <w:r w:rsidRPr="008B3131"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  <w:t>сб</w:t>
      </w:r>
      <w:proofErr w:type="spellEnd"/>
      <w:proofErr w:type="gramEnd"/>
      <w:r w:rsidRPr="008B3131"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8B3131"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  <w:t>вс</w:t>
      </w:r>
      <w:proofErr w:type="spellEnd"/>
    </w:p>
    <w:p w:rsidR="008B3131" w:rsidRPr="008B3131" w:rsidRDefault="008B3131" w:rsidP="008B3131">
      <w:pPr>
        <w:shd w:val="clear" w:color="auto" w:fill="FFFFFF"/>
        <w:spacing w:before="225" w:after="225" w:line="240" w:lineRule="auto"/>
        <w:rPr>
          <w:rFonts w:ascii="Open Sans" w:eastAsia="Times New Roman" w:hAnsi="Open Sans" w:cs="Times New Roman"/>
          <w:color w:val="222222"/>
          <w:sz w:val="21"/>
          <w:szCs w:val="21"/>
          <w:lang w:eastAsia="ru-RU"/>
        </w:rPr>
      </w:pPr>
      <w:r w:rsidRPr="008B3131">
        <w:rPr>
          <w:rFonts w:ascii="Open Sans" w:eastAsia="Times New Roman" w:hAnsi="Open Sans" w:cs="Times New Roman"/>
          <w:color w:val="222222"/>
          <w:sz w:val="21"/>
          <w:szCs w:val="21"/>
          <w:lang w:eastAsia="ru-RU"/>
        </w:rPr>
        <w:pict>
          <v:rect id="_x0000_i1025" style="width:0;height:0" o:hralign="center" o:hrstd="t" o:hr="t" fillcolor="#a0a0a0" stroked="f"/>
        </w:pict>
      </w:r>
    </w:p>
    <w:p w:rsidR="008B3131" w:rsidRPr="008B3131" w:rsidRDefault="008B3131" w:rsidP="008B3131">
      <w:pPr>
        <w:shd w:val="clear" w:color="auto" w:fill="FFFFFF"/>
        <w:spacing w:after="150" w:line="420" w:lineRule="atLeast"/>
        <w:jc w:val="center"/>
        <w:outlineLvl w:val="2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B313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Противодействие коррупции</w:t>
      </w:r>
    </w:p>
    <w:p w:rsidR="008B3131" w:rsidRPr="008B3131" w:rsidRDefault="008B3131" w:rsidP="008B3131">
      <w:pPr>
        <w:shd w:val="clear" w:color="auto" w:fill="FFFFFF"/>
        <w:spacing w:before="225" w:after="225" w:line="240" w:lineRule="auto"/>
        <w:jc w:val="both"/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</w:pPr>
      <w:r w:rsidRPr="008B3131"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  <w:t>Противодействие коррупции является одной из приоритетных задач государственной политики и важнейшим направлением деятельности органов прокуратуры Российской Федерации, которым отводится центральное место в реализации антикоррупционного законодательства и обеспечении его неукоснительного соблюдения.</w:t>
      </w:r>
    </w:p>
    <w:p w:rsidR="008B3131" w:rsidRPr="008B3131" w:rsidRDefault="008B3131" w:rsidP="008B3131">
      <w:pPr>
        <w:shd w:val="clear" w:color="auto" w:fill="FFFFFF"/>
        <w:spacing w:before="225" w:after="225" w:line="240" w:lineRule="auto"/>
        <w:jc w:val="both"/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</w:pPr>
      <w:r w:rsidRPr="008B3131"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  <w:t>Прокуратура Российской Федерации – это единая федеральная централизованная система органов, осуществляющих надзор за соблюдением Конституции Российской Федерации от имени Российской Федерации и исполнением законов, действующих на ее территории.</w:t>
      </w:r>
    </w:p>
    <w:p w:rsidR="008B3131" w:rsidRPr="008B3131" w:rsidRDefault="008B3131" w:rsidP="008B3131">
      <w:pPr>
        <w:shd w:val="clear" w:color="auto" w:fill="FFFFFF"/>
        <w:spacing w:before="225" w:after="225" w:line="240" w:lineRule="auto"/>
        <w:jc w:val="both"/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</w:pPr>
      <w:r w:rsidRPr="008B3131"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  <w:t>Органы прокуратуры осуществляют свою антикоррупционную деятельность на основании Конституции Российской Федерации, Федерального закона от 17 января 1992 г. № 2202-I «О прокуратуре Российской Федерации», Федерального закона от 25 декабря 2008 г. № 273-ФЗ «О противодействии коррупции», иных федеральных законов и утверждаемого Президентом Российской Федерации Национального плана противодействия коррупции.</w:t>
      </w:r>
    </w:p>
    <w:p w:rsidR="008B3131" w:rsidRPr="008B3131" w:rsidRDefault="008B3131" w:rsidP="008B3131">
      <w:pPr>
        <w:shd w:val="clear" w:color="auto" w:fill="FFFFFF"/>
        <w:spacing w:before="225" w:after="225" w:line="240" w:lineRule="auto"/>
        <w:jc w:val="both"/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</w:pPr>
      <w:r w:rsidRPr="008B3131"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  <w:t>В соответствии со статьей 36 Конвенц</w:t>
      </w:r>
      <w:proofErr w:type="gramStart"/>
      <w:r w:rsidRPr="008B3131"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  <w:t>ии ОО</w:t>
      </w:r>
      <w:proofErr w:type="gramEnd"/>
      <w:r w:rsidRPr="008B3131"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  <w:t>Н против коррупции в 2007 году в составе Генеральной прокуратуры Российской Федерации образовано управление по надзору за исполнением законодательства о противодействии коррупции.</w:t>
      </w:r>
    </w:p>
    <w:p w:rsidR="008B3131" w:rsidRPr="008B3131" w:rsidRDefault="008B3131" w:rsidP="008B3131">
      <w:pPr>
        <w:shd w:val="clear" w:color="auto" w:fill="FFFFFF"/>
        <w:spacing w:before="225" w:after="225" w:line="240" w:lineRule="auto"/>
        <w:jc w:val="both"/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</w:pPr>
      <w:r w:rsidRPr="008B3131"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  <w:t>Аналогичные специализированные подразделения по надзору за исполнением законодательства о противодействии коррупции (далее – СППК) созданы на уровне субъектов Российской Федерации.</w:t>
      </w:r>
    </w:p>
    <w:p w:rsidR="008B3131" w:rsidRPr="008B3131" w:rsidRDefault="008B3131" w:rsidP="008B3131">
      <w:pPr>
        <w:shd w:val="clear" w:color="auto" w:fill="FFFFFF"/>
        <w:spacing w:before="225" w:after="225" w:line="240" w:lineRule="auto"/>
        <w:jc w:val="both"/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</w:pPr>
      <w:r w:rsidRPr="008B3131"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  <w:t>Организационное и методическое руководство деятельностью СППК в регионах осуществляет управление по надзору за исполнением законодательства о противодействии коррупции Генеральной прокуратуры Российской Федерации, а оперативное руководство работниками таких подразделений – лично прокуроры субъектов Российской Федерации.</w:t>
      </w:r>
    </w:p>
    <w:p w:rsidR="008B3131" w:rsidRPr="008B3131" w:rsidRDefault="008B3131" w:rsidP="008B3131">
      <w:pPr>
        <w:shd w:val="clear" w:color="auto" w:fill="FFFFFF"/>
        <w:spacing w:before="225" w:after="225" w:line="240" w:lineRule="auto"/>
        <w:jc w:val="both"/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</w:pPr>
      <w:r w:rsidRPr="008B3131"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  <w:t>В состав управления входят: отдел по надзору за исполнением федерального законодательства; отдел по надзору за уголовно-процессуальной и оперативно-розыскной деятельностью, обеспечению участия прокуроров в рассмотрении уголовных дел судами; организационно-аналитический отдел; старшие прокуроры управления с дислокацией в федеральных округах страны, реализующие надзорные полномочия в отношении государственных органов окружного и межрегионального уровня.</w:t>
      </w:r>
    </w:p>
    <w:p w:rsidR="008B3131" w:rsidRPr="008B3131" w:rsidRDefault="008B3131" w:rsidP="008B3131">
      <w:pPr>
        <w:shd w:val="clear" w:color="auto" w:fill="FFFFFF"/>
        <w:spacing w:before="225" w:after="225" w:line="240" w:lineRule="auto"/>
        <w:jc w:val="both"/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</w:pPr>
      <w:r w:rsidRPr="008B3131"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  <w:t>Такое построение призвано обеспечить самостоятельную централизованную структуру в рамках единой прокуратуры Российской Федерации, призванную обеспечить комплексный подход к противодействию коррупции и устойчивую к возможному давлению извне со стороны представителей любых ветвей власти. Установленные для работников подразделений гарантии независимости позволяют эффективно и результативно осуществлять возложенные функции, невзирая на уровень проверяемого органа.</w:t>
      </w:r>
    </w:p>
    <w:p w:rsidR="008B3131" w:rsidRPr="008B3131" w:rsidRDefault="008B3131" w:rsidP="008B3131">
      <w:pPr>
        <w:shd w:val="clear" w:color="auto" w:fill="FFFFFF"/>
        <w:spacing w:before="225" w:after="225" w:line="240" w:lineRule="auto"/>
        <w:jc w:val="both"/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</w:pPr>
      <w:r w:rsidRPr="008B3131"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  <w:lastRenderedPageBreak/>
        <w:t>В целях повышения гарантий независимости и самостоятельности таких подразделений для их работников предусмотрена не только особая процедура их назначения на должность и освобождения от должности, но и специальный порядок привлечения таких прокурорских работников к дисциплинарной ответственности.</w:t>
      </w:r>
    </w:p>
    <w:p w:rsidR="008B3131" w:rsidRPr="008B3131" w:rsidRDefault="008B3131" w:rsidP="008B3131">
      <w:pPr>
        <w:shd w:val="clear" w:color="auto" w:fill="FFFFFF"/>
        <w:spacing w:before="225" w:after="225" w:line="240" w:lineRule="auto"/>
        <w:jc w:val="both"/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</w:pPr>
      <w:r w:rsidRPr="008B3131"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  <w:t>Назначение на должность производится после тщательного изучения в Генеральной прокуратуре Российской Федерации личности кандидата, который должен иметь не менее пяти лет стажа работы в прокуратуре, обладать необходимыми профессиональными качествами и безупречной репутацией. Отбор кандидатур происходит на заседании специальной комиссии. Состав комиссии в Генеральной прокуратуре Российской Федерации утвержден приказом Генерального прокурора Российской Федерации, возглавляет ее Первый заместитель Генерального прокурора Российской Федерации. На региональном уровне такие комиссии возглавляют прокуроры субъектов Российской Федерации и приравненных к ним специализированных прокуратур.</w:t>
      </w:r>
    </w:p>
    <w:p w:rsidR="008B3131" w:rsidRPr="008B3131" w:rsidRDefault="008B3131" w:rsidP="008B3131">
      <w:pPr>
        <w:shd w:val="clear" w:color="auto" w:fill="FFFFFF"/>
        <w:spacing w:before="225" w:after="225" w:line="240" w:lineRule="auto"/>
        <w:jc w:val="both"/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</w:pPr>
      <w:r w:rsidRPr="008B3131"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  <w:t xml:space="preserve">Все отобранные прокурорские </w:t>
      </w:r>
      <w:proofErr w:type="gramStart"/>
      <w:r w:rsidRPr="008B3131"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  <w:t>работники</w:t>
      </w:r>
      <w:proofErr w:type="gramEnd"/>
      <w:r w:rsidRPr="008B3131"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  <w:t xml:space="preserve"> как на региональном, так и на федеральном уровне назначаются на должность приказом Генерального прокурора Российской Федерации и могут быть привлечены к дисциплинарной ответственности только с согласия его первого заместителя.</w:t>
      </w:r>
    </w:p>
    <w:p w:rsidR="008B3131" w:rsidRPr="008B3131" w:rsidRDefault="008B3131" w:rsidP="008B3131">
      <w:pPr>
        <w:shd w:val="clear" w:color="auto" w:fill="FFFFFF"/>
        <w:spacing w:before="225" w:after="225" w:line="240" w:lineRule="auto"/>
        <w:jc w:val="center"/>
        <w:rPr>
          <w:rFonts w:ascii="Open Sans" w:eastAsia="Times New Roman" w:hAnsi="Open Sans" w:cs="Times New Roman"/>
          <w:color w:val="222222"/>
          <w:sz w:val="21"/>
          <w:szCs w:val="21"/>
          <w:lang w:eastAsia="ru-RU"/>
        </w:rPr>
      </w:pPr>
      <w:r w:rsidRPr="008B3131">
        <w:rPr>
          <w:rFonts w:ascii="Open Sans" w:eastAsia="Times New Roman" w:hAnsi="Open Sans" w:cs="Times New Roman"/>
          <w:b/>
          <w:bCs/>
          <w:color w:val="222222"/>
          <w:sz w:val="21"/>
          <w:szCs w:val="21"/>
          <w:lang w:eastAsia="ru-RU"/>
        </w:rPr>
        <w:t xml:space="preserve">Основными функциями специализированных подразделений органов прокуратуры </w:t>
      </w:r>
      <w:proofErr w:type="gramStart"/>
      <w:r w:rsidRPr="008B3131">
        <w:rPr>
          <w:rFonts w:ascii="Open Sans" w:eastAsia="Times New Roman" w:hAnsi="Open Sans" w:cs="Times New Roman"/>
          <w:b/>
          <w:bCs/>
          <w:color w:val="222222"/>
          <w:sz w:val="21"/>
          <w:szCs w:val="21"/>
          <w:lang w:eastAsia="ru-RU"/>
        </w:rPr>
        <w:t>по</w:t>
      </w:r>
      <w:proofErr w:type="gramEnd"/>
      <w:r w:rsidRPr="008B3131">
        <w:rPr>
          <w:rFonts w:ascii="Open Sans" w:eastAsia="Times New Roman" w:hAnsi="Open Sans" w:cs="Times New Roman"/>
          <w:b/>
          <w:bCs/>
          <w:color w:val="222222"/>
          <w:sz w:val="21"/>
          <w:szCs w:val="21"/>
          <w:lang w:eastAsia="ru-RU"/>
        </w:rPr>
        <w:t xml:space="preserve"> противодействию коррупции являются:</w:t>
      </w:r>
    </w:p>
    <w:p w:rsidR="008B3131" w:rsidRPr="008B3131" w:rsidRDefault="008B3131" w:rsidP="008B3131">
      <w:pPr>
        <w:numPr>
          <w:ilvl w:val="0"/>
          <w:numId w:val="1"/>
        </w:numPr>
        <w:shd w:val="clear" w:color="auto" w:fill="FFFFFF"/>
        <w:spacing w:after="150" w:line="420" w:lineRule="atLeast"/>
        <w:ind w:left="0"/>
        <w:jc w:val="center"/>
        <w:outlineLvl w:val="2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B31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мониторинг и анализ исполнения законодательства о противодействии коррупции и выработка предложений по его совершенствованию;</w:t>
      </w:r>
    </w:p>
    <w:p w:rsidR="008B3131" w:rsidRPr="008B3131" w:rsidRDefault="008B3131" w:rsidP="008B31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jc w:val="both"/>
        <w:rPr>
          <w:rFonts w:ascii="Open Sans" w:eastAsia="Times New Roman" w:hAnsi="Open Sans" w:cs="Times New Roman"/>
          <w:color w:val="222222"/>
          <w:sz w:val="21"/>
          <w:szCs w:val="21"/>
          <w:lang w:eastAsia="ru-RU"/>
        </w:rPr>
      </w:pPr>
      <w:r w:rsidRPr="008B3131">
        <w:rPr>
          <w:rFonts w:ascii="Open Sans" w:eastAsia="Times New Roman" w:hAnsi="Open Sans" w:cs="Times New Roman"/>
          <w:color w:val="222222"/>
          <w:sz w:val="21"/>
          <w:szCs w:val="21"/>
          <w:lang w:eastAsia="ru-RU"/>
        </w:rPr>
        <w:t>выявление коррупционных проявлений в деятельности различных государственных органов и органов местного самоуправления и проведение по ним соответствующих проверок;</w:t>
      </w:r>
    </w:p>
    <w:p w:rsidR="008B3131" w:rsidRPr="008B3131" w:rsidRDefault="008B3131" w:rsidP="008B31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jc w:val="both"/>
        <w:rPr>
          <w:rFonts w:ascii="Open Sans" w:eastAsia="Times New Roman" w:hAnsi="Open Sans" w:cs="Times New Roman"/>
          <w:color w:val="222222"/>
          <w:sz w:val="21"/>
          <w:szCs w:val="21"/>
          <w:lang w:eastAsia="ru-RU"/>
        </w:rPr>
      </w:pPr>
      <w:r w:rsidRPr="008B3131">
        <w:rPr>
          <w:rFonts w:ascii="Open Sans" w:eastAsia="Times New Roman" w:hAnsi="Open Sans" w:cs="Times New Roman"/>
          <w:color w:val="222222"/>
          <w:sz w:val="21"/>
          <w:szCs w:val="21"/>
          <w:lang w:eastAsia="ru-RU"/>
        </w:rPr>
        <w:t>возбуждение дел об административных правонарушениях и проведение административного расследования, в том числе в отношении юридических лиц, по фактам коррупционных правонарушений;</w:t>
      </w:r>
    </w:p>
    <w:p w:rsidR="008B3131" w:rsidRPr="008B3131" w:rsidRDefault="008B3131" w:rsidP="008B31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jc w:val="both"/>
        <w:rPr>
          <w:rFonts w:ascii="Open Sans" w:eastAsia="Times New Roman" w:hAnsi="Open Sans" w:cs="Times New Roman"/>
          <w:color w:val="222222"/>
          <w:sz w:val="21"/>
          <w:szCs w:val="21"/>
          <w:lang w:eastAsia="ru-RU"/>
        </w:rPr>
      </w:pPr>
      <w:r w:rsidRPr="008B3131">
        <w:rPr>
          <w:rFonts w:ascii="Open Sans" w:eastAsia="Times New Roman" w:hAnsi="Open Sans" w:cs="Times New Roman"/>
          <w:color w:val="222222"/>
          <w:sz w:val="21"/>
          <w:szCs w:val="21"/>
          <w:lang w:eastAsia="ru-RU"/>
        </w:rPr>
        <w:t>участие в рассмотрении дел судами, обжалование решений, приговоров, определений и постановлений судов;</w:t>
      </w:r>
    </w:p>
    <w:p w:rsidR="008B3131" w:rsidRPr="008B3131" w:rsidRDefault="008B3131" w:rsidP="008B31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jc w:val="both"/>
        <w:rPr>
          <w:rFonts w:ascii="Open Sans" w:eastAsia="Times New Roman" w:hAnsi="Open Sans" w:cs="Times New Roman"/>
          <w:color w:val="222222"/>
          <w:sz w:val="21"/>
          <w:szCs w:val="21"/>
          <w:lang w:eastAsia="ru-RU"/>
        </w:rPr>
      </w:pPr>
      <w:r w:rsidRPr="008B3131">
        <w:rPr>
          <w:rFonts w:ascii="Open Sans" w:eastAsia="Times New Roman" w:hAnsi="Open Sans" w:cs="Times New Roman"/>
          <w:color w:val="222222"/>
          <w:sz w:val="21"/>
          <w:szCs w:val="21"/>
          <w:lang w:eastAsia="ru-RU"/>
        </w:rPr>
        <w:t xml:space="preserve">оценка нормативных правовых актов федеральных органов исполнительной власти, органов государственной власти субъектов Российской Федерации, иных государственных органов и организаций, органов местного самоуправления, их должностных лиц на </w:t>
      </w:r>
      <w:proofErr w:type="spellStart"/>
      <w:r w:rsidRPr="008B3131">
        <w:rPr>
          <w:rFonts w:ascii="Open Sans" w:eastAsia="Times New Roman" w:hAnsi="Open Sans" w:cs="Times New Roman"/>
          <w:color w:val="222222"/>
          <w:sz w:val="21"/>
          <w:szCs w:val="21"/>
          <w:lang w:eastAsia="ru-RU"/>
        </w:rPr>
        <w:t>коррупциогенность</w:t>
      </w:r>
      <w:proofErr w:type="spellEnd"/>
      <w:r w:rsidRPr="008B3131">
        <w:rPr>
          <w:rFonts w:ascii="Open Sans" w:eastAsia="Times New Roman" w:hAnsi="Open Sans" w:cs="Times New Roman"/>
          <w:color w:val="222222"/>
          <w:sz w:val="21"/>
          <w:szCs w:val="21"/>
          <w:lang w:eastAsia="ru-RU"/>
        </w:rPr>
        <w:t xml:space="preserve"> (антикоррупционная экспертиза);</w:t>
      </w:r>
    </w:p>
    <w:p w:rsidR="008B3131" w:rsidRPr="008B3131" w:rsidRDefault="008B3131" w:rsidP="008B31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jc w:val="both"/>
        <w:rPr>
          <w:rFonts w:ascii="Open Sans" w:eastAsia="Times New Roman" w:hAnsi="Open Sans" w:cs="Times New Roman"/>
          <w:color w:val="222222"/>
          <w:sz w:val="21"/>
          <w:szCs w:val="21"/>
          <w:lang w:eastAsia="ru-RU"/>
        </w:rPr>
      </w:pPr>
      <w:r w:rsidRPr="008B3131">
        <w:rPr>
          <w:rFonts w:ascii="Open Sans" w:eastAsia="Times New Roman" w:hAnsi="Open Sans" w:cs="Times New Roman"/>
          <w:color w:val="222222"/>
          <w:sz w:val="21"/>
          <w:szCs w:val="21"/>
          <w:lang w:eastAsia="ru-RU"/>
        </w:rPr>
        <w:t>осуществление надзора за соблюдением уголовно-процессуального законодательства в процессе расследования уголовных дел о фактах коррупции;</w:t>
      </w:r>
    </w:p>
    <w:p w:rsidR="008B3131" w:rsidRPr="008B3131" w:rsidRDefault="008B3131" w:rsidP="008B31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jc w:val="both"/>
        <w:rPr>
          <w:rFonts w:ascii="Open Sans" w:eastAsia="Times New Roman" w:hAnsi="Open Sans" w:cs="Times New Roman"/>
          <w:color w:val="222222"/>
          <w:sz w:val="21"/>
          <w:szCs w:val="21"/>
          <w:lang w:eastAsia="ru-RU"/>
        </w:rPr>
      </w:pPr>
      <w:r w:rsidRPr="008B3131">
        <w:rPr>
          <w:rFonts w:ascii="Open Sans" w:eastAsia="Times New Roman" w:hAnsi="Open Sans" w:cs="Times New Roman"/>
          <w:color w:val="222222"/>
          <w:sz w:val="21"/>
          <w:szCs w:val="21"/>
          <w:lang w:eastAsia="ru-RU"/>
        </w:rPr>
        <w:t>поддержание государственного обвинения по уголовным делам о преступлениях коррупционной направленности;</w:t>
      </w:r>
    </w:p>
    <w:p w:rsidR="008B3131" w:rsidRPr="008B3131" w:rsidRDefault="008B3131" w:rsidP="008B31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jc w:val="both"/>
        <w:rPr>
          <w:rFonts w:ascii="Open Sans" w:eastAsia="Times New Roman" w:hAnsi="Open Sans" w:cs="Times New Roman"/>
          <w:color w:val="222222"/>
          <w:sz w:val="21"/>
          <w:szCs w:val="21"/>
          <w:lang w:eastAsia="ru-RU"/>
        </w:rPr>
      </w:pPr>
      <w:r w:rsidRPr="008B3131">
        <w:rPr>
          <w:rFonts w:ascii="Open Sans" w:eastAsia="Times New Roman" w:hAnsi="Open Sans" w:cs="Times New Roman"/>
          <w:color w:val="222222"/>
          <w:sz w:val="21"/>
          <w:szCs w:val="21"/>
          <w:lang w:eastAsia="ru-RU"/>
        </w:rPr>
        <w:t>координация деятельности правоохранительных органов по борьбе с коррупцией;</w:t>
      </w:r>
    </w:p>
    <w:p w:rsidR="008B3131" w:rsidRPr="008B3131" w:rsidRDefault="008B3131" w:rsidP="008B31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jc w:val="both"/>
        <w:rPr>
          <w:rFonts w:ascii="Open Sans" w:eastAsia="Times New Roman" w:hAnsi="Open Sans" w:cs="Times New Roman"/>
          <w:color w:val="222222"/>
          <w:sz w:val="21"/>
          <w:szCs w:val="21"/>
          <w:lang w:eastAsia="ru-RU"/>
        </w:rPr>
      </w:pPr>
      <w:r w:rsidRPr="008B3131">
        <w:rPr>
          <w:rFonts w:ascii="Open Sans" w:eastAsia="Times New Roman" w:hAnsi="Open Sans" w:cs="Times New Roman"/>
          <w:color w:val="222222"/>
          <w:sz w:val="21"/>
          <w:szCs w:val="21"/>
          <w:lang w:eastAsia="ru-RU"/>
        </w:rPr>
        <w:t>участие в международном сотрудничестве с антикоррупционными структурами других стран и международными организациями.</w:t>
      </w:r>
    </w:p>
    <w:p w:rsidR="008B3131" w:rsidRPr="008B3131" w:rsidRDefault="008B3131" w:rsidP="008B3131">
      <w:pPr>
        <w:shd w:val="clear" w:color="auto" w:fill="FFFFFF"/>
        <w:spacing w:before="225" w:after="225" w:line="240" w:lineRule="auto"/>
        <w:jc w:val="both"/>
        <w:rPr>
          <w:rFonts w:ascii="Open Sans" w:eastAsia="Times New Roman" w:hAnsi="Open Sans" w:cs="Times New Roman"/>
          <w:sz w:val="21"/>
          <w:szCs w:val="21"/>
          <w:lang w:eastAsia="ru-RU"/>
        </w:rPr>
      </w:pPr>
      <w:bookmarkStart w:id="0" w:name="_GoBack"/>
      <w:r w:rsidRPr="008B3131">
        <w:rPr>
          <w:rFonts w:ascii="Open Sans" w:eastAsia="Times New Roman" w:hAnsi="Open Sans" w:cs="Times New Roman"/>
          <w:sz w:val="21"/>
          <w:szCs w:val="21"/>
          <w:lang w:eastAsia="ru-RU"/>
        </w:rPr>
        <w:t>С учетом мероприятий, определенных </w:t>
      </w:r>
      <w:hyperlink r:id="rId7" w:history="1">
        <w:r w:rsidRPr="008B3131">
          <w:rPr>
            <w:rFonts w:ascii="Open Sans" w:eastAsia="Times New Roman" w:hAnsi="Open Sans" w:cs="Times New Roman"/>
            <w:sz w:val="21"/>
            <w:szCs w:val="21"/>
            <w:lang w:eastAsia="ru-RU"/>
          </w:rPr>
          <w:t>Национальным планом противодействия коррупции на 2016–2017 годы, утвержденным Указом Президента Российской Федерации от 1 апреля 2016 г. № 147</w:t>
        </w:r>
      </w:hyperlink>
      <w:r w:rsidRPr="008B3131">
        <w:rPr>
          <w:rFonts w:ascii="Open Sans" w:eastAsia="Times New Roman" w:hAnsi="Open Sans" w:cs="Times New Roman"/>
          <w:sz w:val="21"/>
          <w:szCs w:val="21"/>
          <w:lang w:eastAsia="ru-RU"/>
        </w:rPr>
        <w:t>, приоритетными направлениями надзора в сфере противодействия коррупции являются:</w:t>
      </w:r>
    </w:p>
    <w:bookmarkEnd w:id="0"/>
    <w:p w:rsidR="008B3131" w:rsidRPr="008B3131" w:rsidRDefault="008B3131" w:rsidP="008B31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0"/>
        <w:jc w:val="both"/>
        <w:rPr>
          <w:rFonts w:ascii="Open Sans" w:eastAsia="Times New Roman" w:hAnsi="Open Sans" w:cs="Times New Roman"/>
          <w:color w:val="222222"/>
          <w:sz w:val="21"/>
          <w:szCs w:val="21"/>
          <w:lang w:eastAsia="ru-RU"/>
        </w:rPr>
      </w:pPr>
      <w:r w:rsidRPr="008B3131">
        <w:rPr>
          <w:rFonts w:ascii="Open Sans" w:eastAsia="Times New Roman" w:hAnsi="Open Sans" w:cs="Times New Roman"/>
          <w:color w:val="222222"/>
          <w:sz w:val="21"/>
          <w:szCs w:val="21"/>
          <w:lang w:eastAsia="ru-RU"/>
        </w:rPr>
        <w:lastRenderedPageBreak/>
        <w:t>соблюдение федеральными государственными органами требований законодательства Российской Федерации о противодействии коррупции, в том числе об организации работы по противодействию коррупции в организациях, созданных для выполнения задач, поставленных перед этими федеральными государственными органами;</w:t>
      </w:r>
    </w:p>
    <w:p w:rsidR="008B3131" w:rsidRPr="008B3131" w:rsidRDefault="008B3131" w:rsidP="008B31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0"/>
        <w:jc w:val="both"/>
        <w:rPr>
          <w:rFonts w:ascii="Open Sans" w:eastAsia="Times New Roman" w:hAnsi="Open Sans" w:cs="Times New Roman"/>
          <w:color w:val="222222"/>
          <w:sz w:val="21"/>
          <w:szCs w:val="21"/>
          <w:lang w:eastAsia="ru-RU"/>
        </w:rPr>
      </w:pPr>
      <w:r w:rsidRPr="008B3131">
        <w:rPr>
          <w:rFonts w:ascii="Open Sans" w:eastAsia="Times New Roman" w:hAnsi="Open Sans" w:cs="Times New Roman"/>
          <w:color w:val="222222"/>
          <w:sz w:val="21"/>
          <w:szCs w:val="21"/>
          <w:lang w:eastAsia="ru-RU"/>
        </w:rPr>
        <w:t>соблюдение лицами, замещавшими должности государственной или муниципальной службы (в том числе получившими отрицательное решение комиссий по соблюдению требований к служебному поведению государственных или муниципальных служащих и урегулированию конфликта интересов), ограничений при заключении ими после увольнения с государственной или муниципальной службы трудовых и гражданско-правовых договоров;</w:t>
      </w:r>
    </w:p>
    <w:p w:rsidR="008B3131" w:rsidRPr="008B3131" w:rsidRDefault="008B3131" w:rsidP="008B31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0"/>
        <w:jc w:val="both"/>
        <w:rPr>
          <w:rFonts w:ascii="Open Sans" w:eastAsia="Times New Roman" w:hAnsi="Open Sans" w:cs="Times New Roman"/>
          <w:color w:val="222222"/>
          <w:sz w:val="21"/>
          <w:szCs w:val="21"/>
          <w:lang w:eastAsia="ru-RU"/>
        </w:rPr>
      </w:pPr>
      <w:r w:rsidRPr="008B3131">
        <w:rPr>
          <w:rFonts w:ascii="Open Sans" w:eastAsia="Times New Roman" w:hAnsi="Open Sans" w:cs="Times New Roman"/>
          <w:color w:val="222222"/>
          <w:sz w:val="21"/>
          <w:szCs w:val="21"/>
          <w:lang w:eastAsia="ru-RU"/>
        </w:rPr>
        <w:t>соблюдение органами субъектов Российской Федерации по профилактике коррупционных и иных правонарушений требований законодательства Российской Федерации о противодействии коррупции;</w:t>
      </w:r>
    </w:p>
    <w:p w:rsidR="008B3131" w:rsidRPr="008B3131" w:rsidRDefault="008B3131" w:rsidP="008B31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0"/>
        <w:jc w:val="both"/>
        <w:rPr>
          <w:rFonts w:ascii="Open Sans" w:eastAsia="Times New Roman" w:hAnsi="Open Sans" w:cs="Times New Roman"/>
          <w:color w:val="222222"/>
          <w:sz w:val="21"/>
          <w:szCs w:val="21"/>
          <w:lang w:eastAsia="ru-RU"/>
        </w:rPr>
      </w:pPr>
      <w:r w:rsidRPr="008B3131">
        <w:rPr>
          <w:rFonts w:ascii="Open Sans" w:eastAsia="Times New Roman" w:hAnsi="Open Sans" w:cs="Times New Roman"/>
          <w:color w:val="222222"/>
          <w:sz w:val="21"/>
          <w:szCs w:val="21"/>
          <w:lang w:eastAsia="ru-RU"/>
        </w:rPr>
        <w:t xml:space="preserve">соблюдение лицами, замещающими должности категории «руководители» в федеральных государственных органах, органах государственной власти субъектов Российской Федерации и муниципальных органах, требований законодательства о предотвращении и урегулировании конфликта интересов, а также о </w:t>
      </w:r>
      <w:proofErr w:type="gramStart"/>
      <w:r w:rsidRPr="008B3131">
        <w:rPr>
          <w:rFonts w:ascii="Open Sans" w:eastAsia="Times New Roman" w:hAnsi="Open Sans" w:cs="Times New Roman"/>
          <w:color w:val="222222"/>
          <w:sz w:val="21"/>
          <w:szCs w:val="21"/>
          <w:lang w:eastAsia="ru-RU"/>
        </w:rPr>
        <w:t>контроле за</w:t>
      </w:r>
      <w:proofErr w:type="gramEnd"/>
      <w:r w:rsidRPr="008B3131">
        <w:rPr>
          <w:rFonts w:ascii="Open Sans" w:eastAsia="Times New Roman" w:hAnsi="Open Sans" w:cs="Times New Roman"/>
          <w:color w:val="222222"/>
          <w:sz w:val="21"/>
          <w:szCs w:val="21"/>
          <w:lang w:eastAsia="ru-RU"/>
        </w:rPr>
        <w:t xml:space="preserve"> соответствием расходов их доходам;</w:t>
      </w:r>
    </w:p>
    <w:p w:rsidR="008B3131" w:rsidRPr="008B3131" w:rsidRDefault="008B3131" w:rsidP="008B31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0"/>
        <w:jc w:val="both"/>
        <w:rPr>
          <w:rFonts w:ascii="Open Sans" w:eastAsia="Times New Roman" w:hAnsi="Open Sans" w:cs="Times New Roman"/>
          <w:color w:val="222222"/>
          <w:sz w:val="21"/>
          <w:szCs w:val="21"/>
          <w:lang w:eastAsia="ru-RU"/>
        </w:rPr>
      </w:pPr>
      <w:r w:rsidRPr="008B3131">
        <w:rPr>
          <w:rFonts w:ascii="Open Sans" w:eastAsia="Times New Roman" w:hAnsi="Open Sans" w:cs="Times New Roman"/>
          <w:color w:val="222222"/>
          <w:sz w:val="21"/>
          <w:szCs w:val="21"/>
          <w:lang w:eastAsia="ru-RU"/>
        </w:rPr>
        <w:t>соблюдение требований законодательства Российской Федерации о противодействии коррупции при распоряжении земельными участками, находящимися в государственной или муниципальной собственности, а также при осуществлении закупок лекарственных средств и медицинской техники для обеспечения государственных нужд и организации оказания медицинской помощи гражданам.</w:t>
      </w:r>
    </w:p>
    <w:p w:rsidR="0088274E" w:rsidRDefault="0088274E"/>
    <w:sectPr w:rsidR="00882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74E89"/>
    <w:multiLevelType w:val="multilevel"/>
    <w:tmpl w:val="68A0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425360"/>
    <w:multiLevelType w:val="multilevel"/>
    <w:tmpl w:val="A552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DAC"/>
    <w:rsid w:val="00462DAC"/>
    <w:rsid w:val="0088274E"/>
    <w:rsid w:val="008B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31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B31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31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B31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B3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3131"/>
    <w:rPr>
      <w:b/>
      <w:bCs/>
    </w:rPr>
  </w:style>
  <w:style w:type="character" w:styleId="a5">
    <w:name w:val="Hyperlink"/>
    <w:basedOn w:val="a0"/>
    <w:uiPriority w:val="99"/>
    <w:semiHidden/>
    <w:unhideWhenUsed/>
    <w:rsid w:val="008B31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31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B31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31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B31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B3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3131"/>
    <w:rPr>
      <w:b/>
      <w:bCs/>
    </w:rPr>
  </w:style>
  <w:style w:type="character" w:styleId="a5">
    <w:name w:val="Hyperlink"/>
    <w:basedOn w:val="a0"/>
    <w:uiPriority w:val="99"/>
    <w:semiHidden/>
    <w:unhideWhenUsed/>
    <w:rsid w:val="008B31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0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74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gov.ru/proxy/ips/?docbody=&amp;link_id=0&amp;nd=10239379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D3A68-A56B-4188-9B2C-73E27D5BF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cp:lastPrinted>2025-11-06T04:46:00Z</cp:lastPrinted>
  <dcterms:created xsi:type="dcterms:W3CDTF">2025-11-06T04:43:00Z</dcterms:created>
  <dcterms:modified xsi:type="dcterms:W3CDTF">2025-11-06T04:46:00Z</dcterms:modified>
</cp:coreProperties>
</file>